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62FE2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0F5636CE">
      <w:pPr>
        <w:framePr w:w="5947" w:wrap="auto" w:vAnchor="margin" w:hAnchor="text" w:x="4694" w:y="1614"/>
        <w:widowControl w:val="0"/>
        <w:autoSpaceDE w:val="0"/>
        <w:autoSpaceDN w:val="0"/>
        <w:spacing w:line="489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BNAGQS+FZHTK--GBK1-0" w:hAnsi="BNAGQS+FZHTK--GBK1-0" w:cs="BNAGQS+FZHTK--GBK1-0"/>
          <w:color w:val="000000"/>
          <w:spacing w:val="-1"/>
          <w:sz w:val="44"/>
          <w:szCs w:val="22"/>
          <w:lang w:val="en-US" w:eastAsia="en-US" w:bidi="ar-SA"/>
        </w:rPr>
        <w:t>方山县社会救助领域办事指南</w:t>
      </w:r>
    </w:p>
    <w:p w14:paraId="0262D827">
      <w:pPr>
        <w:framePr w:w="720" w:wrap="auto" w:vAnchor="margin" w:hAnchor="text" w:x="1243" w:y="2753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序号</w:t>
      </w:r>
    </w:p>
    <w:p w14:paraId="06B12277">
      <w:pPr>
        <w:framePr w:w="720" w:wrap="auto" w:vAnchor="margin" w:hAnchor="text" w:x="1243" w:y="2753"/>
        <w:widowControl w:val="0"/>
        <w:autoSpaceDE w:val="0"/>
        <w:autoSpaceDN w:val="0"/>
        <w:spacing w:before="1135" w:line="267" w:lineRule="exact"/>
        <w:ind w:left="180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Calibri"/>
          <w:color w:val="000000"/>
          <w:szCs w:val="22"/>
          <w:lang w:val="en-US" w:eastAsia="en-US" w:bidi="ar-SA"/>
        </w:rPr>
        <w:t>1</w:t>
      </w:r>
    </w:p>
    <w:p w14:paraId="6D796416">
      <w:pPr>
        <w:framePr w:w="1200" w:wrap="auto" w:vAnchor="margin" w:hAnchor="text" w:x="2280" w:y="2753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公开事项</w:t>
      </w:r>
    </w:p>
    <w:p w14:paraId="7208E990">
      <w:pPr>
        <w:framePr w:w="1200" w:wrap="auto" w:vAnchor="margin" w:hAnchor="text" w:x="6108" w:y="2753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办事流程</w:t>
      </w:r>
    </w:p>
    <w:p w14:paraId="219850AE">
      <w:pPr>
        <w:framePr w:w="1200" w:wrap="auto" w:vAnchor="margin" w:hAnchor="text" w:x="11290" w:y="2753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办事依据</w:t>
      </w:r>
    </w:p>
    <w:p w14:paraId="78E6B603">
      <w:pPr>
        <w:framePr w:w="4620" w:wrap="auto" w:vAnchor="margin" w:hAnchor="text" w:x="9564" w:y="3586"/>
        <w:widowControl w:val="0"/>
        <w:autoSpaceDE w:val="0"/>
        <w:autoSpaceDN w:val="0"/>
        <w:spacing w:before="18" w:line="267" w:lineRule="exact"/>
        <w:rPr>
          <w:rFonts w:hint="default" w:ascii="PKLVBT+FZSSK--GBK1-0" w:hAnsi="Calibri" w:eastAsia="宋体"/>
          <w:color w:val="000000"/>
          <w:szCs w:val="22"/>
          <w:lang w:val="en-US" w:eastAsia="zh-CN" w:bidi="ar-SA"/>
        </w:rPr>
      </w:pPr>
      <w:r>
        <w:rPr>
          <w:rFonts w:hint="eastAsia" w:ascii="PKLVBT+FZSSK--GBK1-0" w:hAnsi="Calibri" w:eastAsia="宋体"/>
          <w:color w:val="000000"/>
          <w:szCs w:val="22"/>
          <w:lang w:val="en-US" w:eastAsia="zh-CN" w:bidi="ar-SA"/>
        </w:rPr>
        <w:t>山西省民政厅关于印发《最低生活保障对象审核确认办法》的通知（晋民发{2021}57号）</w:t>
      </w:r>
    </w:p>
    <w:p w14:paraId="0A472F26">
      <w:pPr>
        <w:framePr w:w="6000" w:wrap="auto" w:vAnchor="margin" w:hAnchor="text" w:x="3672" w:y="3730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以家庭为单位，由申请家庭确定一名共同生活的家庭成</w:t>
      </w:r>
    </w:p>
    <w:p w14:paraId="77C43408">
      <w:pPr>
        <w:framePr w:w="6000" w:wrap="auto" w:vAnchor="margin" w:hAnchor="text" w:x="3672" w:y="3730"/>
        <w:widowControl w:val="0"/>
        <w:autoSpaceDE w:val="0"/>
        <w:autoSpaceDN w:val="0"/>
        <w:spacing w:before="16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员作为申请人，向户籍所在地镇人民政府提出书面申</w:t>
      </w:r>
    </w:p>
    <w:p w14:paraId="2F597E11">
      <w:pPr>
        <w:framePr w:w="6000" w:wrap="auto" w:vAnchor="margin" w:hAnchor="text" w:x="3672" w:y="3730"/>
        <w:widowControl w:val="0"/>
        <w:autoSpaceDE w:val="0"/>
        <w:autoSpaceDN w:val="0"/>
        <w:spacing w:before="19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请，镇人民政府受理后组织入户调查、信息比对、公式</w:t>
      </w:r>
    </w:p>
    <w:p w14:paraId="463C56DA">
      <w:pPr>
        <w:framePr w:w="6000" w:wrap="auto" w:vAnchor="margin" w:hAnchor="text" w:x="3672" w:y="3730"/>
        <w:widowControl w:val="0"/>
        <w:autoSpaceDE w:val="0"/>
        <w:autoSpaceDN w:val="0"/>
        <w:spacing w:before="19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、提出初审意见，民政局审核确认。</w:t>
      </w:r>
    </w:p>
    <w:p w14:paraId="50ABF277">
      <w:pPr>
        <w:framePr w:w="1680" w:wrap="auto" w:vAnchor="margin" w:hAnchor="text" w:x="2040" w:y="4155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最低生活保障</w:t>
      </w:r>
    </w:p>
    <w:p w14:paraId="05C08923">
      <w:pPr>
        <w:framePr w:w="4620" w:wrap="auto" w:vAnchor="margin" w:hAnchor="text" w:x="9564" w:y="5425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《国务院关于进一步健全特困人员救助供</w:t>
      </w:r>
    </w:p>
    <w:p w14:paraId="739869BF">
      <w:pPr>
        <w:framePr w:w="4620" w:wrap="auto" w:vAnchor="margin" w:hAnchor="text" w:x="9564" w:y="5425"/>
        <w:widowControl w:val="0"/>
        <w:autoSpaceDE w:val="0"/>
        <w:autoSpaceDN w:val="0"/>
        <w:spacing w:before="18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养制度的意见》(国发〔2016〕14号)、山</w:t>
      </w:r>
    </w:p>
    <w:p w14:paraId="7B51F456">
      <w:pPr>
        <w:framePr w:w="4620" w:wrap="auto" w:vAnchor="margin" w:hAnchor="text" w:x="9564" w:y="5425"/>
        <w:widowControl w:val="0"/>
        <w:autoSpaceDE w:val="0"/>
        <w:autoSpaceDN w:val="0"/>
        <w:spacing w:before="19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西省民政厅关于印发《特困人员认定办法</w:t>
      </w:r>
    </w:p>
    <w:p w14:paraId="1E355A66">
      <w:pPr>
        <w:framePr w:w="4620" w:wrap="auto" w:vAnchor="margin" w:hAnchor="text" w:x="9564" w:y="5425"/>
        <w:widowControl w:val="0"/>
        <w:autoSpaceDE w:val="0"/>
        <w:autoSpaceDN w:val="0"/>
        <w:spacing w:before="16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》的通知</w:t>
      </w:r>
      <w:r>
        <w:rPr>
          <w:rFonts w:ascii="PKLVBT+FZSSK--GBK1-0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（晋民发〔2021〕58号）各地相</w:t>
      </w:r>
    </w:p>
    <w:p w14:paraId="03363D65">
      <w:pPr>
        <w:framePr w:w="4620" w:wrap="auto" w:vAnchor="margin" w:hAnchor="text" w:x="9564" w:y="5425"/>
        <w:widowControl w:val="0"/>
        <w:autoSpaceDE w:val="0"/>
        <w:autoSpaceDN w:val="0"/>
        <w:spacing w:before="19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关政策法规文件</w:t>
      </w:r>
    </w:p>
    <w:p w14:paraId="31BE3DF7">
      <w:pPr>
        <w:framePr w:w="6000" w:wrap="auto" w:vAnchor="margin" w:hAnchor="text" w:x="3672" w:y="5566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本人向户籍所在地的镇人民政府提出书面申请，本人申</w:t>
      </w:r>
    </w:p>
    <w:p w14:paraId="305CF208">
      <w:pPr>
        <w:framePr w:w="6000" w:wrap="auto" w:vAnchor="margin" w:hAnchor="text" w:x="3672" w:y="5566"/>
        <w:widowControl w:val="0"/>
        <w:autoSpaceDE w:val="0"/>
        <w:autoSpaceDN w:val="0"/>
        <w:spacing w:before="19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请有困难的，可以委托村（居）委员会代替提出申请，</w:t>
      </w:r>
    </w:p>
    <w:p w14:paraId="5E09D583">
      <w:pPr>
        <w:framePr w:w="6000" w:wrap="auto" w:vAnchor="margin" w:hAnchor="text" w:x="3672" w:y="5566"/>
        <w:widowControl w:val="0"/>
        <w:autoSpaceDE w:val="0"/>
        <w:autoSpaceDN w:val="0"/>
        <w:spacing w:before="18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镇人民政府受理并组织入户调查、信息比对、公示、提</w:t>
      </w:r>
    </w:p>
    <w:p w14:paraId="472D2673">
      <w:pPr>
        <w:framePr w:w="6000" w:wrap="auto" w:vAnchor="margin" w:hAnchor="text" w:x="3672" w:y="5566"/>
        <w:widowControl w:val="0"/>
        <w:autoSpaceDE w:val="0"/>
        <w:autoSpaceDN w:val="0"/>
        <w:spacing w:before="19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出初审意见，民政局审核确认。</w:t>
      </w:r>
    </w:p>
    <w:p w14:paraId="2FABE8FF">
      <w:pPr>
        <w:framePr w:w="360" w:wrap="auto" w:vAnchor="margin" w:hAnchor="text" w:x="1423" w:y="5996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Calibri"/>
          <w:color w:val="000000"/>
          <w:szCs w:val="22"/>
          <w:lang w:val="en-US" w:eastAsia="en-US" w:bidi="ar-SA"/>
        </w:rPr>
        <w:t>2</w:t>
      </w:r>
    </w:p>
    <w:p w14:paraId="6EED0ED6">
      <w:pPr>
        <w:framePr w:w="1200" w:wrap="auto" w:vAnchor="margin" w:hAnchor="text" w:x="2280" w:y="5996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特困供养</w:t>
      </w:r>
    </w:p>
    <w:p w14:paraId="538F9CED">
      <w:pPr>
        <w:framePr w:w="4560" w:wrap="auto" w:vAnchor="margin" w:hAnchor="text" w:x="9564" w:y="7983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《国务院关于全面建立临时救助制度的通</w:t>
      </w:r>
    </w:p>
    <w:p w14:paraId="55879E16">
      <w:pPr>
        <w:framePr w:w="4560" w:wrap="auto" w:vAnchor="margin" w:hAnchor="text" w:x="9564" w:y="7983"/>
        <w:widowControl w:val="0"/>
        <w:autoSpaceDE w:val="0"/>
        <w:autoSpaceDN w:val="0"/>
        <w:spacing w:before="19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知》(国发〔2014〕47号)</w:t>
      </w:r>
      <w:r>
        <w:rPr>
          <w:rFonts w:ascii="PKLVBT+FZSSK--GBK1-0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、《关于进一步</w:t>
      </w:r>
    </w:p>
    <w:p w14:paraId="03A0F139">
      <w:pPr>
        <w:framePr w:w="4560" w:wrap="auto" w:vAnchor="margin" w:hAnchor="text" w:x="9564" w:y="7983"/>
        <w:widowControl w:val="0"/>
        <w:autoSpaceDE w:val="0"/>
        <w:autoSpaceDN w:val="0"/>
        <w:spacing w:before="18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加强和改进临时救助工作的通知》吕民发</w:t>
      </w:r>
    </w:p>
    <w:p w14:paraId="7E451338">
      <w:pPr>
        <w:framePr w:w="4560" w:wrap="auto" w:vAnchor="margin" w:hAnchor="text" w:x="9564" w:y="7983"/>
        <w:widowControl w:val="0"/>
        <w:autoSpaceDE w:val="0"/>
        <w:autoSpaceDN w:val="0"/>
        <w:spacing w:before="16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〔2019〕8号、</w:t>
      </w:r>
      <w:r>
        <w:rPr>
          <w:rFonts w:hint="eastAsia" w:ascii="PKLVBT+FZSSK--GBK1-0" w:hAnsi="PKLVBT+FZSSK--GBK1-0" w:eastAsia="宋体" w:cs="PKLVBT+FZSSK--GBK1-0"/>
          <w:color w:val="000000"/>
          <w:szCs w:val="22"/>
          <w:lang w:val="en-US" w:eastAsia="zh-CN" w:bidi="ar-SA"/>
        </w:rPr>
        <w:t>吕梁市民政局关于印发《吕梁市临时救助实施细则（试行）的通知》</w:t>
      </w: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晋民发〔202</w:t>
      </w:r>
      <w:r>
        <w:rPr>
          <w:rFonts w:hint="eastAsia" w:ascii="PKLVBT+FZSSK--GBK1-0" w:hAnsi="PKLVBT+FZSSK--GBK1-0" w:eastAsia="宋体" w:cs="PKLVBT+FZSSK--GBK1-0"/>
          <w:color w:val="000000"/>
          <w:szCs w:val="22"/>
          <w:lang w:val="en-US" w:eastAsia="zh-CN" w:bidi="ar-SA"/>
        </w:rPr>
        <w:t>5</w:t>
      </w: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〕</w:t>
      </w:r>
      <w:r>
        <w:rPr>
          <w:rFonts w:hint="eastAsia" w:ascii="PKLVBT+FZSSK--GBK1-0" w:hAnsi="PKLVBT+FZSSK--GBK1-0" w:eastAsia="宋体" w:cs="PKLVBT+FZSSK--GBK1-0"/>
          <w:color w:val="000000"/>
          <w:szCs w:val="22"/>
          <w:lang w:val="en-US" w:eastAsia="zh-CN" w:bidi="ar-SA"/>
        </w:rPr>
        <w:t>10</w:t>
      </w: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号各地相关政策法规文件</w:t>
      </w:r>
    </w:p>
    <w:p w14:paraId="1EFEF365">
      <w:pPr>
        <w:framePr w:w="6000" w:wrap="auto" w:vAnchor="margin" w:hAnchor="text" w:x="3672" w:y="8127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申请人或委托村（居）委会、其他单位、个人向户籍所</w:t>
      </w:r>
    </w:p>
    <w:p w14:paraId="7ACAB3C2">
      <w:pPr>
        <w:framePr w:w="6000" w:wrap="auto" w:vAnchor="margin" w:hAnchor="text" w:x="3672" w:y="8127"/>
        <w:widowControl w:val="0"/>
        <w:autoSpaceDE w:val="0"/>
        <w:autoSpaceDN w:val="0"/>
        <w:spacing w:before="16"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在地的</w:t>
      </w:r>
      <w:r>
        <w:rPr>
          <w:rFonts w:hint="eastAsia" w:ascii="PKLVBT+FZSSK--GBK1-0" w:hAnsi="PKLVBT+FZSSK--GBK1-0" w:eastAsia="宋体" w:cs="PKLVBT+FZSSK--GBK1-0"/>
          <w:color w:val="000000"/>
          <w:szCs w:val="22"/>
          <w:lang w:val="en-US" w:eastAsia="zh-CN" w:bidi="ar-SA"/>
        </w:rPr>
        <w:t>镇</w:t>
      </w: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人民政府提出申请，镇人民政府工作人员自受</w:t>
      </w:r>
    </w:p>
    <w:p w14:paraId="2D016222">
      <w:pPr>
        <w:framePr w:w="6000" w:wrap="auto" w:vAnchor="margin" w:hAnchor="text" w:x="3672" w:y="8127"/>
        <w:widowControl w:val="0"/>
        <w:autoSpaceDE w:val="0"/>
        <w:autoSpaceDN w:val="0"/>
        <w:spacing w:before="19" w:line="267" w:lineRule="exact"/>
        <w:rPr>
          <w:rFonts w:hint="default" w:ascii="PKLVBT+FZSSK--GBK1-0" w:hAnsi="Calibri" w:eastAsia="宋体"/>
          <w:color w:val="000000"/>
          <w:szCs w:val="22"/>
          <w:lang w:val="en-US" w:eastAsia="zh-CN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理</w:t>
      </w:r>
      <w:r>
        <w:rPr>
          <w:rFonts w:hint="eastAsia" w:ascii="PKLVBT+FZSSK--GBK1-0" w:hAnsi="PKLVBT+FZSSK--GBK1-0" w:eastAsia="宋体" w:cs="PKLVBT+FZSSK--GBK1-0"/>
          <w:color w:val="000000"/>
          <w:szCs w:val="22"/>
          <w:lang w:val="en-US" w:eastAsia="zh-CN" w:bidi="ar-SA"/>
        </w:rPr>
        <w:t>调查、信息比对，公示后对1000以下的临时救助，由各镇进行救助：1000元以上的镇人民政府提出初审意见，由民政局审核确认</w:t>
      </w:r>
    </w:p>
    <w:p w14:paraId="4372895E">
      <w:pPr>
        <w:framePr w:w="360" w:wrap="auto" w:vAnchor="margin" w:hAnchor="text" w:x="1423" w:y="8410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Calibri"/>
          <w:color w:val="000000"/>
          <w:szCs w:val="22"/>
          <w:lang w:val="en-US" w:eastAsia="en-US" w:bidi="ar-SA"/>
        </w:rPr>
        <w:t>3</w:t>
      </w:r>
    </w:p>
    <w:p w14:paraId="1E97D8D4">
      <w:pPr>
        <w:framePr w:w="1200" w:wrap="auto" w:vAnchor="margin" w:hAnchor="text" w:x="2280" w:y="8410"/>
        <w:widowControl w:val="0"/>
        <w:autoSpaceDE w:val="0"/>
        <w:autoSpaceDN w:val="0"/>
        <w:spacing w:line="267" w:lineRule="exact"/>
        <w:rPr>
          <w:rFonts w:ascii="PKLVBT+FZSSK--GBK1-0" w:hAnsi="Calibri"/>
          <w:color w:val="000000"/>
          <w:szCs w:val="22"/>
          <w:lang w:val="en-US" w:eastAsia="en-US" w:bidi="ar-SA"/>
        </w:rPr>
      </w:pPr>
      <w:r>
        <w:rPr>
          <w:rFonts w:ascii="PKLVBT+FZSSK--GBK1-0" w:hAnsi="PKLVBT+FZSSK--GBK1-0" w:cs="PKLVBT+FZSSK--GBK1-0"/>
          <w:color w:val="000000"/>
          <w:szCs w:val="22"/>
          <w:lang w:val="en-US" w:eastAsia="en-US" w:bidi="ar-SA"/>
        </w:rPr>
        <w:t>临时救助</w:t>
      </w:r>
    </w:p>
    <w:p w14:paraId="7E066B2F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1" w:name="_GoBack"/>
      <w:bookmarkEnd w:id="1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666750</wp:posOffset>
            </wp:positionH>
            <wp:positionV relativeFrom="page">
              <wp:posOffset>1427480</wp:posOffset>
            </wp:positionV>
            <wp:extent cx="8239760" cy="4886960"/>
            <wp:effectExtent l="0" t="0" r="889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39760" cy="48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40" w:h="11900" w:orient="landscape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BNAGQS+FZHT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KLVBT+FZSSK--GBK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2DC0289E"/>
    <w:rsid w:val="36BA5F23"/>
    <w:rsid w:val="38991974"/>
    <w:rsid w:val="3D162141"/>
    <w:rsid w:val="558C0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512</Words>
  <Characters>535</Characters>
  <Lines>1</Lines>
  <Paragraphs>1</Paragraphs>
  <TotalTime>14</TotalTime>
  <ScaleCrop>false</ScaleCrop>
  <LinksUpToDate>false</LinksUpToDate>
  <CharactersWithSpaces>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2025-12-09T08:20:04Z</dcterms:created>
  <dc:creator>Administrator</dc:creator>
  <cp:lastModifiedBy>期许</cp:lastModifiedBy>
  <dcterms:modified xsi:type="dcterms:W3CDTF">2025-12-09T08:35:03Z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eyJoZGlkIjoiZmEzNDdhOTM0MzdmMGZmMzk0NWU1OWI3ZGE4YThkNTIiLCJ1c2VySWQiOiI4OTI1MTExNDUifQ==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018B4BF6904B4D95B15FE60FCD545C62_13</vt:lpwstr>
  </property>
</Properties>
</file>