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2022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年债务情况说明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2022年底，地方政府债务总额（限额）190427万元，其中：一般债务79427万元，专项债务111000万元。当年举借25089万元，其中：一般债务8189万元、专项债务16900万元；当年偿还专项债务本金5500万元；当年债务付息支出6034万元（一般债务付息支出2377万元、专项债务付息支出3657万元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一般债券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8189万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元，用于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个项目建设，其中：福利院养护楼人防工程项目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200万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元，县城提升改造项目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900万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元，县域医疗综合服务能力提升项目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1200万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元，高中新校区工程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1500万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元，瓦窑河城区段生态修复综合治理工程项目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500万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元，南阳沟水库雨水情测报和安全检测项目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45万元，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大草坪至北武当山段（北武山景区环线公路北线工程）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3175万元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，圪洞至梅洞沟旅游公路项目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169万元，圪洞至张家塔民居旅游公路项目500万元。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专项债券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16900万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其中：11400万元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用于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个项目建设，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分别为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：殡仪馆建设项目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2400万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元，人民医院附属配套工程及传染楼工程项目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5200万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元，棚户区改造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东三区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1600万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老旧小区改造项目2200万元；5500万元用于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还专项债务本金。</w:t>
      </w:r>
    </w:p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ZTY3NGM0ZDg3ODk3NjQ3YjJjNDU4OTVlNDAwZjIifQ=="/>
  </w:docVars>
  <w:rsids>
    <w:rsidRoot w:val="00000000"/>
    <w:rsid w:val="14577372"/>
    <w:rsid w:val="4C1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eastAsia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正文首行缩进 21"/>
    <w:basedOn w:val="10"/>
    <w:next w:val="5"/>
    <w:qFormat/>
    <w:uiPriority w:val="0"/>
    <w:pPr>
      <w:ind w:firstLine="420" w:firstLineChars="200"/>
    </w:pPr>
  </w:style>
  <w:style w:type="paragraph" w:customStyle="1" w:styleId="10">
    <w:name w:val="正文文本缩进1"/>
    <w:basedOn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2023-10-16T02:59:00Z</dcterms:created>
  <dc:creator>贾</dc:creator>
  <cp:lastModifiedBy>魅力无限</cp:lastModifiedBy>
  <dcterms:modified xsi:type="dcterms:W3CDTF">2024-05-06T08:34:58Z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A219100ECC0045DFB67576DCF0B792A9_12</vt:lpwstr>
  </property>
</Properties>
</file>