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AD7FE">
      <w:pPr>
        <w:snapToGrid w:val="0"/>
        <w:spacing w:line="1500" w:lineRule="exact"/>
        <w:jc w:val="both"/>
        <w:rPr>
          <w:rFonts w:hint="eastAsia" w:ascii="新宋体" w:hAnsi="新宋体" w:eastAsia="新宋体" w:cs="新宋体"/>
          <w:b/>
          <w:color w:val="FF0000"/>
          <w:spacing w:val="-20"/>
          <w:w w:val="90"/>
          <w:sz w:val="44"/>
          <w:szCs w:val="44"/>
          <w:lang w:eastAsia="zh-CN"/>
        </w:rPr>
      </w:pPr>
    </w:p>
    <w:p w14:paraId="50B9E094">
      <w:pPr>
        <w:snapToGrid w:val="0"/>
        <w:spacing w:line="1500" w:lineRule="exact"/>
        <w:jc w:val="both"/>
        <w:rPr>
          <w:rFonts w:hint="eastAsia" w:ascii="新宋体" w:hAnsi="新宋体" w:eastAsia="新宋体" w:cs="新宋体"/>
          <w:b/>
          <w:color w:val="FF0000"/>
          <w:spacing w:val="-20"/>
          <w:w w:val="90"/>
          <w:sz w:val="96"/>
          <w:szCs w:val="96"/>
        </w:rPr>
      </w:pPr>
      <w:r>
        <w:rPr>
          <w:rFonts w:hint="eastAsia" w:ascii="新宋体" w:hAnsi="新宋体" w:eastAsia="新宋体" w:cs="新宋体"/>
          <w:b/>
          <w:color w:val="FF0000"/>
          <w:spacing w:val="-20"/>
          <w:w w:val="90"/>
          <w:sz w:val="96"/>
          <w:szCs w:val="96"/>
          <w:lang w:eastAsia="zh-CN"/>
        </w:rPr>
        <w:t>方山</w:t>
      </w:r>
      <w:r>
        <w:rPr>
          <w:rFonts w:hint="eastAsia" w:ascii="新宋体" w:hAnsi="新宋体" w:eastAsia="新宋体" w:cs="新宋体"/>
          <w:b/>
          <w:color w:val="FF0000"/>
          <w:spacing w:val="-20"/>
          <w:w w:val="90"/>
          <w:sz w:val="96"/>
          <w:szCs w:val="96"/>
        </w:rPr>
        <w:t>县烟草专卖局文件</w:t>
      </w:r>
    </w:p>
    <w:p w14:paraId="53ADA6F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b/>
          <w:sz w:val="44"/>
          <w:szCs w:val="44"/>
        </w:rPr>
      </w:pPr>
    </w:p>
    <w:p w14:paraId="5E935CF2">
      <w:pPr>
        <w:adjustRightInd w:val="0"/>
        <w:snapToGrid w:val="0"/>
        <w:spacing w:line="620" w:lineRule="exact"/>
        <w:jc w:val="center"/>
        <w:rPr>
          <w:rFonts w:hint="eastAsia" w:eastAsia="方正仿宋_GBK" w:asciiTheme="majorEastAsia" w:hAnsiTheme="majorEastAsia" w:cstheme="majorEastAsia"/>
          <w:b/>
          <w:sz w:val="32"/>
          <w:szCs w:val="32"/>
          <w:lang w:val="en-US" w:eastAsia="zh-CN"/>
        </w:rPr>
      </w:pPr>
      <w:r>
        <w:rPr>
          <w:rFonts w:hint="eastAsia" w:ascii="方正仿宋_GBK" w:hAnsi="方正仿宋_GBK" w:eastAsia="方正仿宋_GBK" w:cs="方正仿宋_GBK"/>
          <w:b w:val="0"/>
          <w:bCs/>
          <w:sz w:val="32"/>
          <w:szCs w:val="32"/>
          <w:lang w:eastAsia="zh-CN"/>
        </w:rPr>
        <w:t>方烟法</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5号</w:t>
      </w:r>
    </w:p>
    <w:p w14:paraId="56F1814C">
      <w:pPr>
        <w:adjustRightInd w:val="0"/>
        <w:snapToGrid w:val="0"/>
        <w:spacing w:line="620" w:lineRule="exact"/>
        <w:jc w:val="center"/>
        <w:rPr>
          <w:rFonts w:hint="eastAsia" w:asciiTheme="majorEastAsia" w:hAnsiTheme="majorEastAsia" w:eastAsiaTheme="majorEastAsia" w:cstheme="majorEastAsia"/>
          <w:b/>
          <w:sz w:val="44"/>
          <w:szCs w:val="44"/>
        </w:rPr>
      </w:pPr>
      <w:r>
        <w:rPr>
          <w:rFonts w:hint="eastAsia" w:ascii="仿宋" w:hAnsi="仿宋" w:eastAsia="仿宋"/>
          <w:color w:val="000000"/>
          <w:sz w:val="44"/>
          <w:szCs w:val="44"/>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229235</wp:posOffset>
                </wp:positionV>
                <wp:extent cx="561594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15940" cy="0"/>
                        </a:xfrm>
                        <a:prstGeom prst="line">
                          <a:avLst/>
                        </a:prstGeom>
                        <a:ln w="1524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pt;margin-top:18.05pt;height:0pt;width:442.2pt;z-index:251660288;mso-width-relative:page;mso-height-relative:page;" filled="f" stroked="t" coordsize="21600,21600" o:gfxdata="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oHpTvVAAAABwEAAA8AAAAAAAAAAQAgAAAAIgAAAGRycy9kb3ducmV2LnhtbFBLAQIU&#10;ABQAAAAIAIdO4kDW4zjd9gEAAOUDAAAOAAAAAAAAAAEAIAAAACQBAABkcnMvZTJvRG9jLnhtbFBL&#10;BQYAAAAABgAGAFkBAACMBQAAAAA=&#10;">
                <v:fill on="f" focussize="0,0"/>
                <v:stroke weight="1.2pt" color="#FF0000" joinstyle="round"/>
                <v:imagedata o:title=""/>
                <o:lock v:ext="edit" aspectratio="f"/>
              </v:line>
            </w:pict>
          </mc:Fallback>
        </mc:AlternateContent>
      </w:r>
    </w:p>
    <w:p w14:paraId="40728B26">
      <w:pPr>
        <w:adjustRightInd w:val="0"/>
        <w:snapToGrid w:val="0"/>
        <w:spacing w:line="620" w:lineRule="exact"/>
        <w:jc w:val="center"/>
        <w:rPr>
          <w:rFonts w:hint="eastAsia" w:asciiTheme="majorEastAsia" w:hAnsiTheme="majorEastAsia" w:eastAsiaTheme="majorEastAsia" w:cstheme="majorEastAsia"/>
          <w:b/>
          <w:sz w:val="44"/>
          <w:szCs w:val="44"/>
        </w:rPr>
      </w:pPr>
    </w:p>
    <w:p w14:paraId="52306680">
      <w:pPr>
        <w:adjustRightInd w:val="0"/>
        <w:snapToGrid w:val="0"/>
        <w:spacing w:line="62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方山县烟草制品零售点合理布局规划</w:t>
      </w:r>
    </w:p>
    <w:p w14:paraId="11E35D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center"/>
        <w:textAlignment w:val="auto"/>
        <w:rPr>
          <w:rFonts w:hint="default" w:ascii="方正小标宋简体" w:hAnsi="宋体" w:eastAsia="方正小标宋简体" w:cs="Times New Roman"/>
          <w:color w:val="000000"/>
          <w:kern w:val="2"/>
          <w:sz w:val="44"/>
          <w:szCs w:val="44"/>
          <w:lang w:val="en-US" w:eastAsia="zh-CN" w:bidi="ar-SA"/>
        </w:rPr>
      </w:pPr>
    </w:p>
    <w:p w14:paraId="1568E0EF">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第一章</w:t>
      </w:r>
      <w:r>
        <w:rPr>
          <w:rFonts w:hint="eastAsia" w:ascii="黑体" w:hAnsi="黑体" w:eastAsia="黑体" w:cs="Times New Roman"/>
          <w:sz w:val="32"/>
          <w:szCs w:val="32"/>
          <w:lang w:val="en-US" w:eastAsia="zh-CN"/>
        </w:rPr>
        <w:t xml:space="preserve">  </w:t>
      </w:r>
      <w:r>
        <w:rPr>
          <w:rFonts w:hint="default" w:ascii="黑体" w:hAnsi="黑体" w:eastAsia="黑体" w:cs="Times New Roman"/>
          <w:sz w:val="32"/>
          <w:szCs w:val="32"/>
          <w:lang w:val="en-US" w:eastAsia="zh-CN"/>
        </w:rPr>
        <w:t>总则</w:t>
      </w:r>
    </w:p>
    <w:p w14:paraId="48E8C2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第一条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为深入贯彻落实“高效办成一件事”改革要求，适应</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卷烟市场新发展、新特点，进一步规范零售市场秩序，合理满足消费需求，防止无序过度竞争，持续优化</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烟草市场营商环境，切实保护未成年人身心健康，根据《中华人民共和国行政许可法》、《中华人民共和国烟草专卖法》及其《实施条例》、《中华人民共和国未成年人保护法》、《烟草专卖许可证管理办法》及其《实施细则》等法律、法规、规章和规范性文件规定，及吕梁市局下发的《吕梁市烟草专卖局关于烟草制品零售点合理布局的指导意见</w:t>
      </w:r>
      <w:r>
        <w:rPr>
          <w:rFonts w:hint="eastAsia" w:ascii="仿宋_GB2312" w:hAnsi="仿宋" w:eastAsia="仿宋_GB2312" w:cs="Times New Roman"/>
          <w:kern w:val="2"/>
          <w:sz w:val="32"/>
          <w:szCs w:val="32"/>
          <w:lang w:val="en-US" w:eastAsia="zh-CN" w:bidi="ar-SA"/>
        </w:rPr>
        <w:t>2026年修订</w:t>
      </w:r>
      <w:r>
        <w:rPr>
          <w:rFonts w:hint="default" w:ascii="仿宋_GB2312" w:hAnsi="仿宋" w:eastAsia="仿宋_GB2312" w:cs="Times New Roman"/>
          <w:kern w:val="2"/>
          <w:sz w:val="32"/>
          <w:szCs w:val="32"/>
          <w:lang w:val="en-US" w:eastAsia="zh-CN" w:bidi="ar-SA"/>
        </w:rPr>
        <w:t>》，结合</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实际，制定本规划。</w:t>
      </w:r>
    </w:p>
    <w:p w14:paraId="10F83B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本规划适用于</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行政区域内烟草制品零售点（以下简称零售点）的布局管理，电子烟除外。</w:t>
      </w:r>
    </w:p>
    <w:p w14:paraId="06D192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本规划所称零售点是指公民、法人或其他组织依法申请取得烟草专卖零售许可证从事烟草制品零售业务的经营场所。</w:t>
      </w:r>
    </w:p>
    <w:p w14:paraId="064EDD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零售点应当设置于与住所相独立的固定经营场所，面向公众经营，并在营业执照登记注册的经营场所范围内。</w:t>
      </w:r>
    </w:p>
    <w:p w14:paraId="051F4693">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第二章</w:t>
      </w:r>
      <w:r>
        <w:rPr>
          <w:rFonts w:hint="eastAsia" w:ascii="黑体" w:hAnsi="黑体" w:eastAsia="黑体" w:cs="Times New Roman"/>
          <w:sz w:val="32"/>
          <w:szCs w:val="32"/>
          <w:lang w:val="en-US" w:eastAsia="zh-CN"/>
        </w:rPr>
        <w:t xml:space="preserve">  </w:t>
      </w:r>
      <w:r>
        <w:rPr>
          <w:rFonts w:hint="default" w:ascii="黑体" w:hAnsi="黑体" w:eastAsia="黑体" w:cs="Times New Roman"/>
          <w:sz w:val="32"/>
          <w:szCs w:val="32"/>
          <w:lang w:val="en-US" w:eastAsia="zh-CN"/>
        </w:rPr>
        <w:t>基本原则</w:t>
      </w:r>
    </w:p>
    <w:p w14:paraId="702D68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第四条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申请烟草专卖零售许可证，应当符合</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烟草制品零售点的合理布局要求。烟草制品零售点合理布局规划的制定遵循依法依规、科学规划、服务社会、均衡发展的原则。</w:t>
      </w:r>
    </w:p>
    <w:p w14:paraId="3FAC9C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（一）依法依规原则</w:t>
      </w:r>
    </w:p>
    <w:p w14:paraId="7ED2E6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规划的制定与实施以法律法规、规章及相关规范性文件为依据，坚持依法行政。通过履行征求意见、听证、备案等法定程序，确保规划的制定科学合理、程序合法公正，保障规划执行的公开、公平、公正。禁止以辖区总人口数预先设定零售许可证总量上限，不得将便于访销配送、电子结算和市场监督管理作为布局规划的基本考量因素。</w:t>
      </w:r>
    </w:p>
    <w:p w14:paraId="5EE57E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（二）科学规划原则</w:t>
      </w:r>
    </w:p>
    <w:p w14:paraId="5041C1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规划的制定基于辖区内的人口数量、交通状况、经济发展水平、消费能力等客观因素，综合运用数量、间距等科学模型进行合理布局。尊重客观事实，遵循市场规律，确保规划贴近市场实际，符合现实需求。特别关注并认真研究城镇化建设、人口迁移等新形势的发展变化，不断提高布局科学化水平。</w:t>
      </w:r>
    </w:p>
    <w:p w14:paraId="104C89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（三）服务社会原则</w:t>
      </w:r>
    </w:p>
    <w:p w14:paraId="74D71A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强化规划的服务导向，坚持以服务社会为主旨，兼顾民生需求、促进就业与社会稳定。规划将便利消费者购买、满足消费需求作为布局的关键考量因素，总体上保持适度从宽，同时避免零售点分布过于密集。对守法经营的社会弱势群体，在申办条件上予以适当放宽和照顾，体现烟草行业服务社会的责任担当。</w:t>
      </w:r>
    </w:p>
    <w:p w14:paraId="33E2F1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（四）均衡发展原则</w:t>
      </w:r>
    </w:p>
    <w:p w14:paraId="1BA4E2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坚持对零售户总量实施合理稳定的调控，确保零售点数量与卷烟经营需求相匹配，零售点分布与不同区域市场特点相协调。通过科学分析，选取影响零售户合理容量的核心因素，对辖区内的零售点合理容量进行测算，并将测算结果作为布局规划的重要依据。通过合理布局与动态调节，实现零售户总量稳定、分布均衡的发展目标，以维护卷烟零售市场的良好秩序。</w:t>
      </w:r>
    </w:p>
    <w:p w14:paraId="6F656A85">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第三章  卷烟零售点布局设置标准</w:t>
      </w:r>
    </w:p>
    <w:p w14:paraId="6D3716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第五条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本规划中卷烟零售点，指申请人申请的许可范围必须包含“卷烟本店零售”的烟草制品销售点。</w:t>
      </w:r>
    </w:p>
    <w:p w14:paraId="29BF51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第六条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方山县</w:t>
      </w:r>
      <w:r>
        <w:rPr>
          <w:rFonts w:hint="default" w:ascii="仿宋_GB2312" w:hAnsi="仿宋" w:eastAsia="仿宋_GB2312" w:cs="Times New Roman"/>
          <w:kern w:val="2"/>
          <w:sz w:val="32"/>
          <w:szCs w:val="32"/>
          <w:lang w:val="en-US" w:eastAsia="zh-CN" w:bidi="ar-SA"/>
        </w:rPr>
        <w:t>卷烟零售点布局规划以较为稳定、相对独立的市场区域为单元，量化分析单元内与烟草制品零售相关的因素，测算零售点的合理数量范围与间距标准，组合运用数量、间距和其他符合当地实际、科学合理的布局模式。</w:t>
      </w:r>
    </w:p>
    <w:p w14:paraId="17EC9C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以间距控制模式、最小市场单元总量模式、特殊市场单元总量模式、单元总量+间距模式、可以放宽的情形、法定不予许可情形六种标准，分别对</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行政区域内卷烟零售点进行布局。</w:t>
      </w:r>
    </w:p>
    <w:p w14:paraId="667450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第七条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卷烟零售点设置的间距控制模式如下：</w:t>
      </w:r>
    </w:p>
    <w:p w14:paraId="58C0C3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（一）零售业态为便利店、烟草专业店、超市、商场类的</w:t>
      </w:r>
      <w:r>
        <w:rPr>
          <w:rFonts w:hint="eastAsia" w:ascii="仿宋_GB2312" w:hAnsi="仿宋" w:eastAsia="仿宋_GB2312" w:cs="Times New Roman"/>
          <w:kern w:val="2"/>
          <w:sz w:val="32"/>
          <w:szCs w:val="32"/>
          <w:lang w:val="en-US" w:eastAsia="zh-CN" w:bidi="ar-SA"/>
        </w:rPr>
        <w:t>，</w:t>
      </w:r>
      <w:r>
        <w:rPr>
          <w:rFonts w:hint="default" w:ascii="仿宋_GB2312" w:hAnsi="仿宋" w:eastAsia="仿宋_GB2312" w:cs="Times New Roman"/>
          <w:kern w:val="2"/>
          <w:sz w:val="32"/>
          <w:szCs w:val="32"/>
          <w:lang w:val="en-US" w:eastAsia="zh-CN" w:bidi="ar-SA"/>
        </w:rPr>
        <w:t>城区</w:t>
      </w:r>
      <w:r>
        <w:rPr>
          <w:rFonts w:hint="eastAsia" w:ascii="仿宋_GB2312" w:hAnsi="仿宋" w:eastAsia="仿宋_GB2312" w:cs="Times New Roman"/>
          <w:kern w:val="2"/>
          <w:sz w:val="32"/>
          <w:szCs w:val="32"/>
          <w:lang w:val="en-US" w:eastAsia="zh-CN" w:bidi="ar-SA"/>
        </w:rPr>
        <w:t>方正街（津良庄桥-城南五道庙）</w:t>
      </w:r>
      <w:r>
        <w:rPr>
          <w:rFonts w:hint="default" w:ascii="仿宋_GB2312" w:hAnsi="仿宋" w:eastAsia="仿宋_GB2312" w:cs="Times New Roman"/>
          <w:kern w:val="2"/>
          <w:sz w:val="32"/>
          <w:szCs w:val="32"/>
          <w:lang w:val="en-US" w:eastAsia="zh-CN" w:bidi="ar-SA"/>
        </w:rPr>
        <w:t>零售点与周边零售点间距不小于</w:t>
      </w:r>
      <w:r>
        <w:rPr>
          <w:rFonts w:hint="eastAsia" w:ascii="仿宋_GB2312" w:hAnsi="仿宋" w:eastAsia="仿宋_GB2312" w:cs="Times New Roman"/>
          <w:kern w:val="2"/>
          <w:sz w:val="32"/>
          <w:szCs w:val="32"/>
          <w:lang w:val="en-US" w:eastAsia="zh-CN" w:bidi="ar-SA"/>
        </w:rPr>
        <w:t>50米。</w:t>
      </w:r>
    </w:p>
    <w:p w14:paraId="3860BD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（二）中小学、幼儿园内部及进出口通道向外延伸可行走距离限制规定米数（设定为50米）范围内不得设置烟草制品零售点</w:t>
      </w:r>
      <w:r>
        <w:rPr>
          <w:rFonts w:hint="eastAsia" w:ascii="仿宋_GB2312" w:hAnsi="仿宋" w:eastAsia="仿宋_GB2312" w:cs="Times New Roman"/>
          <w:kern w:val="2"/>
          <w:sz w:val="32"/>
          <w:szCs w:val="32"/>
          <w:lang w:val="en-US" w:eastAsia="zh-CN" w:bidi="ar-SA"/>
        </w:rPr>
        <w:t>。</w:t>
      </w:r>
    </w:p>
    <w:p w14:paraId="3C9671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第八条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最小市场单元总量模式标准如下：</w:t>
      </w:r>
    </w:p>
    <w:p w14:paraId="2339F5A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行政区划内以街道办事处和乡镇下辖行政区划或可清晰划分边界的市场区域为最小市场单元，并按照最小市场单元人口数量、区域属性、零售点存量、消费习惯、申请数量、卷烟销量等作为参考因素确定规划数，卷烟零售点数量设置以规划数为上限，达到或超出上限的，该最小市场单元内不再新增零售点。最小市场单元规划总量定期对外公布，确保卷烟零售点数量稳定持续发展。（具体数量见附件）</w:t>
      </w:r>
    </w:p>
    <w:p w14:paraId="50E111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第九条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其他</w:t>
      </w:r>
      <w:r>
        <w:rPr>
          <w:rFonts w:hint="default" w:ascii="仿宋_GB2312" w:hAnsi="仿宋" w:eastAsia="仿宋_GB2312" w:cs="Times New Roman"/>
          <w:kern w:val="2"/>
          <w:sz w:val="32"/>
          <w:szCs w:val="32"/>
          <w:lang w:val="en-US" w:eastAsia="zh-CN" w:bidi="ar-SA"/>
        </w:rPr>
        <w:t>市场单元总量模式如下：</w:t>
      </w:r>
    </w:p>
    <w:p w14:paraId="2C9543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总量控制的特殊市场单元包括但不限于以从事农业生产为主的劳动者聚居的村庄，从事生产、经营、科研、开发的产业园区对内销售区域，</w:t>
      </w:r>
      <w:r>
        <w:rPr>
          <w:rFonts w:hint="eastAsia" w:ascii="仿宋_GB2312" w:hAnsi="仿宋" w:eastAsia="仿宋_GB2312" w:cs="Times New Roman"/>
          <w:kern w:val="2"/>
          <w:sz w:val="32"/>
          <w:szCs w:val="32"/>
          <w:lang w:val="en-US" w:eastAsia="zh-CN" w:bidi="ar-SA"/>
        </w:rPr>
        <w:t>飞机场、</w:t>
      </w:r>
      <w:r>
        <w:rPr>
          <w:rFonts w:hint="default" w:ascii="仿宋_GB2312" w:hAnsi="仿宋" w:eastAsia="仿宋_GB2312" w:cs="Times New Roman"/>
          <w:kern w:val="2"/>
          <w:sz w:val="32"/>
          <w:szCs w:val="32"/>
          <w:lang w:val="en-US" w:eastAsia="zh-CN" w:bidi="ar-SA"/>
        </w:rPr>
        <w:t>火车站、汽车站、高速服务区等公共交通枢纽点内部，展览馆、监狱、看守所等相对封闭以满足特定人群消费区域，涉及高等教育的大学城及院校内部，旅游景区、大型公园、特色小镇、大型建筑工地内部，提供住宿、会议、商务、度假等综合服务大型酒店内部等特殊市场单元。</w:t>
      </w:r>
    </w:p>
    <w:p w14:paraId="4ACFD1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（一）农村地区 </w:t>
      </w:r>
      <w:r>
        <w:rPr>
          <w:rFonts w:hint="default" w:ascii="仿宋_GB2312" w:hAnsi="仿宋" w:eastAsia="仿宋_GB2312" w:cs="Times New Roman"/>
          <w:kern w:val="2"/>
          <w:sz w:val="32"/>
          <w:szCs w:val="32"/>
          <w:lang w:val="en-US" w:eastAsia="zh-CN" w:bidi="ar-SA"/>
        </w:rPr>
        <w:t>  </w:t>
      </w:r>
    </w:p>
    <w:p w14:paraId="696949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农村地区是指以从事农业生产为主的劳动者聚居的行政村、自然村。农村常住人口300人以内的可以设1个卷烟零售点，每超200人可增设1个卷烟零售点。按人口比例目前零售点已达到饱和状态的行政村、自然村按现有持证户总数为上限，采取“退一进一”的方式设定零售点。</w:t>
      </w:r>
    </w:p>
    <w:p w14:paraId="46F8DF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（二）企业园区内</w:t>
      </w:r>
    </w:p>
    <w:p w14:paraId="7A2C60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企业园区内是指从事生产、经营、科研、开发的园区对内销售的区域。企业园区内根据职工总人数设置卷烟零售点，园区内职工人数1000人以内的可设置1个卷烟零售点，每增加500人可增设1个卷烟零售点，原则上不超过3个。</w:t>
      </w:r>
    </w:p>
    <w:p w14:paraId="76EBA1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（三）</w:t>
      </w:r>
      <w:r>
        <w:rPr>
          <w:rFonts w:hint="eastAsia" w:ascii="方正楷体_GBK" w:hAnsi="方正楷体_GBK" w:eastAsia="方正楷体_GBK" w:cs="方正楷体_GBK"/>
          <w:b/>
          <w:kern w:val="2"/>
          <w:sz w:val="32"/>
          <w:szCs w:val="32"/>
          <w:lang w:val="en-US" w:eastAsia="zh-CN" w:bidi="ar-SA"/>
        </w:rPr>
        <w:t>飞机场</w:t>
      </w:r>
      <w:r>
        <w:rPr>
          <w:rFonts w:hint="default" w:ascii="方正楷体_GBK" w:hAnsi="方正楷体_GBK" w:eastAsia="方正楷体_GBK" w:cs="方正楷体_GBK"/>
          <w:b/>
          <w:kern w:val="2"/>
          <w:sz w:val="32"/>
          <w:szCs w:val="32"/>
          <w:lang w:val="en-US" w:eastAsia="zh-CN" w:bidi="ar-SA"/>
        </w:rPr>
        <w:t>等公共交通枢纽点内部</w:t>
      </w:r>
    </w:p>
    <w:p w14:paraId="0BD049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飞机场</w:t>
      </w:r>
      <w:r>
        <w:rPr>
          <w:rFonts w:hint="default" w:ascii="仿宋_GB2312" w:hAnsi="仿宋" w:eastAsia="仿宋_GB2312" w:cs="Times New Roman"/>
          <w:kern w:val="2"/>
          <w:sz w:val="32"/>
          <w:szCs w:val="32"/>
          <w:lang w:val="en-US" w:eastAsia="zh-CN" w:bidi="ar-SA"/>
        </w:rPr>
        <w:t>内部</w:t>
      </w:r>
      <w:r>
        <w:rPr>
          <w:rFonts w:hint="eastAsia" w:ascii="仿宋_GB2312" w:hAnsi="仿宋" w:eastAsia="仿宋_GB2312" w:cs="Times New Roman"/>
          <w:kern w:val="2"/>
          <w:sz w:val="32"/>
          <w:szCs w:val="32"/>
          <w:lang w:val="en-US" w:eastAsia="zh-CN" w:bidi="ar-SA"/>
        </w:rPr>
        <w:t>根据当前商铺数量情况，可</w:t>
      </w:r>
      <w:r>
        <w:rPr>
          <w:rFonts w:hint="default" w:ascii="仿宋_GB2312" w:hAnsi="仿宋" w:eastAsia="仿宋_GB2312" w:cs="Times New Roman"/>
          <w:kern w:val="2"/>
          <w:sz w:val="32"/>
          <w:szCs w:val="32"/>
          <w:lang w:val="en-US" w:eastAsia="zh-CN" w:bidi="ar-SA"/>
        </w:rPr>
        <w:t>设置1个卷烟零售点</w:t>
      </w:r>
      <w:r>
        <w:rPr>
          <w:rFonts w:hint="eastAsia" w:ascii="方正仿宋_GBK" w:hAnsi="方正仿宋_GBK" w:eastAsia="方正仿宋_GBK" w:cs="方正仿宋_GBK"/>
          <w:sz w:val="32"/>
          <w:szCs w:val="32"/>
          <w:lang w:eastAsia="zh-CN"/>
        </w:rPr>
        <w:t>。</w:t>
      </w:r>
    </w:p>
    <w:p w14:paraId="730F2A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方正楷体_GBK" w:hAnsi="方正楷体_GBK" w:eastAsia="方正楷体_GBK" w:cs="方正楷体_GBK"/>
          <w:b/>
          <w:kern w:val="2"/>
          <w:sz w:val="32"/>
          <w:szCs w:val="32"/>
          <w:lang w:val="en-US" w:eastAsia="zh-CN" w:bidi="ar-SA"/>
        </w:rPr>
      </w:pPr>
      <w:r>
        <w:rPr>
          <w:rFonts w:hint="default" w:ascii="方正楷体_GBK" w:hAnsi="方正楷体_GBK" w:eastAsia="方正楷体_GBK" w:cs="方正楷体_GBK"/>
          <w:b/>
          <w:kern w:val="2"/>
          <w:sz w:val="32"/>
          <w:szCs w:val="32"/>
          <w:lang w:val="en-US" w:eastAsia="zh-CN" w:bidi="ar-SA"/>
        </w:rPr>
        <w:t>（</w:t>
      </w:r>
      <w:r>
        <w:rPr>
          <w:rFonts w:hint="eastAsia" w:ascii="方正楷体_GBK" w:hAnsi="方正楷体_GBK" w:eastAsia="方正楷体_GBK" w:cs="方正楷体_GBK"/>
          <w:b/>
          <w:kern w:val="2"/>
          <w:sz w:val="32"/>
          <w:szCs w:val="32"/>
          <w:lang w:val="en-US" w:eastAsia="zh-CN" w:bidi="ar-SA"/>
        </w:rPr>
        <w:t>四</w:t>
      </w:r>
      <w:r>
        <w:rPr>
          <w:rFonts w:hint="default" w:ascii="方正楷体_GBK" w:hAnsi="方正楷体_GBK" w:eastAsia="方正楷体_GBK" w:cs="方正楷体_GBK"/>
          <w:b/>
          <w:kern w:val="2"/>
          <w:sz w:val="32"/>
          <w:szCs w:val="32"/>
          <w:lang w:val="en-US" w:eastAsia="zh-CN" w:bidi="ar-SA"/>
        </w:rPr>
        <w:t>）大专院校内</w:t>
      </w:r>
    </w:p>
    <w:p w14:paraId="6EF80E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大专院校内根据教职工及师生总人数设置卷烟零售点，教职工及师生人数3000人以下的可设置1个卷烟零售点，3000人以上6000人以下的可设置2个，最多设置3个。</w:t>
      </w:r>
    </w:p>
    <w:p w14:paraId="72E350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单元总量+间距模式如下：</w:t>
      </w:r>
    </w:p>
    <w:p w14:paraId="1085BB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主要经营五金建材、建筑装潢、美容美发、按摩推拿、药妆医械、文化体育、音像制品、家电家具、通信器材、金融证券、仪器仪表、金银珠宝、修理修配、寄递配送、洗涤护理、服装制售、中介劳服、寄卖典当、汽车租赁、传真打印、机耕农具等专业性较强，与烟草零售不存在互补营销关系的其他业态类型与最近零售点之间的间距设定为不小于200米</w:t>
      </w:r>
      <w:r>
        <w:rPr>
          <w:rFonts w:hint="eastAsia" w:ascii="仿宋_GB2312" w:hAnsi="仿宋" w:eastAsia="仿宋_GB2312" w:cs="Times New Roman"/>
          <w:kern w:val="2"/>
          <w:sz w:val="32"/>
          <w:szCs w:val="32"/>
          <w:lang w:val="en-US" w:eastAsia="zh-CN" w:bidi="ar-SA"/>
        </w:rPr>
        <w:t>，同时受单元总量限制。</w:t>
      </w:r>
    </w:p>
    <w:p w14:paraId="72E062F7">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第四章  雪茄烟零售点布局标准</w:t>
      </w:r>
    </w:p>
    <w:p w14:paraId="6B2995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一</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本规定中雪茄烟零售点，指申请人申请的许可范围仅为“雪茄烟本店零售”的烟草制品销售点。</w:t>
      </w:r>
    </w:p>
    <w:p w14:paraId="6663D3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二</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设置雪茄烟零售点的基本要求：</w:t>
      </w:r>
    </w:p>
    <w:p w14:paraId="5EC865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（一）有与经营雪茄烟业务相适应的资金</w:t>
      </w:r>
      <w:r>
        <w:rPr>
          <w:rFonts w:hint="eastAsia" w:ascii="仿宋_GB2312" w:hAnsi="仿宋" w:eastAsia="仿宋_GB2312" w:cs="Times New Roman"/>
          <w:kern w:val="2"/>
          <w:sz w:val="32"/>
          <w:szCs w:val="32"/>
          <w:lang w:val="en-US" w:eastAsia="zh-CN" w:bidi="ar-SA"/>
        </w:rPr>
        <w:t>。</w:t>
      </w:r>
    </w:p>
    <w:p w14:paraId="39320C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（二）有与住所相独立的固定经营场所</w:t>
      </w:r>
      <w:r>
        <w:rPr>
          <w:rFonts w:hint="eastAsia" w:ascii="仿宋_GB2312" w:hAnsi="仿宋" w:eastAsia="仿宋_GB2312" w:cs="Times New Roman"/>
          <w:kern w:val="2"/>
          <w:sz w:val="32"/>
          <w:szCs w:val="32"/>
          <w:lang w:val="en-US" w:eastAsia="zh-CN" w:bidi="ar-SA"/>
        </w:rPr>
        <w:t>。</w:t>
      </w:r>
    </w:p>
    <w:p w14:paraId="44CA1D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（三）符合当地雪茄烟合理布局规划的要求。</w:t>
      </w:r>
    </w:p>
    <w:p w14:paraId="693256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三</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雪茄烟零售点布局标准如下：</w:t>
      </w:r>
    </w:p>
    <w:p w14:paraId="0FDAAB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根据区域发展、消费需求等因素综合设定本区域雪茄烟零售点总量为</w:t>
      </w:r>
      <w:r>
        <w:rPr>
          <w:rFonts w:hint="eastAsia" w:ascii="仿宋_GB2312" w:hAnsi="仿宋" w:eastAsia="仿宋_GB2312" w:cs="Times New Roman"/>
          <w:kern w:val="2"/>
          <w:sz w:val="32"/>
          <w:szCs w:val="32"/>
          <w:lang w:val="en-US" w:eastAsia="zh-CN" w:bidi="ar-SA"/>
        </w:rPr>
        <w:t>5</w:t>
      </w:r>
      <w:r>
        <w:rPr>
          <w:rFonts w:hint="default" w:ascii="仿宋_GB2312" w:hAnsi="仿宋" w:eastAsia="仿宋_GB2312" w:cs="Times New Roman"/>
          <w:kern w:val="2"/>
          <w:sz w:val="32"/>
          <w:szCs w:val="32"/>
          <w:lang w:val="en-US" w:eastAsia="zh-CN" w:bidi="ar-SA"/>
        </w:rPr>
        <w:t>个，在总量范围内不受距离限制，同时不作为卷烟零售点参照物。</w:t>
      </w:r>
    </w:p>
    <w:p w14:paraId="3D408F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（二）雪茄烟零售点因政策原因需变更经营地址或原址申请许可证的，按照本规定第十</w:t>
      </w:r>
      <w:r>
        <w:rPr>
          <w:rFonts w:hint="eastAsia" w:ascii="仿宋_GB2312" w:hAnsi="仿宋" w:eastAsia="仿宋_GB2312" w:cs="Times New Roman"/>
          <w:kern w:val="2"/>
          <w:sz w:val="32"/>
          <w:szCs w:val="32"/>
          <w:lang w:val="en-US" w:eastAsia="zh-CN" w:bidi="ar-SA"/>
        </w:rPr>
        <w:t>七</w:t>
      </w:r>
      <w:r>
        <w:rPr>
          <w:rFonts w:hint="default" w:ascii="仿宋_GB2312" w:hAnsi="仿宋" w:eastAsia="仿宋_GB2312" w:cs="Times New Roman"/>
          <w:kern w:val="2"/>
          <w:sz w:val="32"/>
          <w:szCs w:val="32"/>
          <w:lang w:val="en-US" w:eastAsia="zh-CN" w:bidi="ar-SA"/>
        </w:rPr>
        <w:t>条要求进行办理。</w:t>
      </w:r>
    </w:p>
    <w:p w14:paraId="2BFA3A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（三）雪茄烟零售点申请变更经营范围，增加其他许可范围（卷烟本店零售、消费类烟丝本店零售）的，按照卷烟零售点的间距或总量控制模式办理。</w:t>
      </w:r>
    </w:p>
    <w:p w14:paraId="79AD75E3">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第五章  放宽规定</w:t>
      </w:r>
    </w:p>
    <w:p w14:paraId="2D7D1C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四</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具备下列情形之一的，可适当放宽数量和间隔距离限制。因享受放宽政策未受区域总量限制办理的烟草证，不计入所属区域最小市场单元格总量、特殊市场单元总量零售点数量范围。</w:t>
      </w:r>
    </w:p>
    <w:p w14:paraId="224FB8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品牌连锁便利店符合《山西省人民政府办公厅关于加快发展流通促进商业消费的实施意见》和山西省商务厅等13部门《关于促进品牌连锁便利店发展的实施意见》的要求，经商务部门注册的品牌连锁经营便利店商标，卷烟零售点间距可放宽至</w:t>
      </w:r>
      <w:r>
        <w:rPr>
          <w:rFonts w:hint="eastAsia" w:ascii="仿宋_GB2312" w:hAnsi="仿宋" w:eastAsia="仿宋_GB2312" w:cs="Times New Roman"/>
          <w:kern w:val="2"/>
          <w:sz w:val="32"/>
          <w:szCs w:val="32"/>
          <w:lang w:val="en-US" w:eastAsia="zh-CN" w:bidi="ar-SA"/>
        </w:rPr>
        <w:t>20</w:t>
      </w:r>
      <w:r>
        <w:rPr>
          <w:rFonts w:hint="default" w:ascii="仿宋_GB2312" w:hAnsi="仿宋" w:eastAsia="仿宋_GB2312" w:cs="Times New Roman"/>
          <w:kern w:val="2"/>
          <w:sz w:val="32"/>
          <w:szCs w:val="32"/>
          <w:lang w:val="en-US" w:eastAsia="zh-CN" w:bidi="ar-SA"/>
        </w:rPr>
        <w:t>米。</w:t>
      </w:r>
    </w:p>
    <w:p w14:paraId="6319F1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（二）对具有完全民事行为能力且本人能够独立自主从事烟草专卖制品零售业务，并持有民政、残联等部门认定</w:t>
      </w:r>
      <w:r>
        <w:rPr>
          <w:rFonts w:hint="eastAsia" w:ascii="仿宋_GB2312" w:hAnsi="仿宋" w:eastAsia="仿宋_GB2312" w:cs="Times New Roman"/>
          <w:kern w:val="2"/>
          <w:sz w:val="32"/>
          <w:szCs w:val="32"/>
          <w:lang w:val="en-US" w:eastAsia="zh-CN" w:bidi="ar-SA"/>
        </w:rPr>
        <w:t>（发放）</w:t>
      </w:r>
      <w:r>
        <w:rPr>
          <w:rFonts w:hint="default" w:ascii="仿宋_GB2312" w:hAnsi="仿宋" w:eastAsia="仿宋_GB2312" w:cs="Times New Roman"/>
          <w:kern w:val="2"/>
          <w:sz w:val="32"/>
          <w:szCs w:val="32"/>
          <w:lang w:val="en-US" w:eastAsia="zh-CN" w:bidi="ar-SA"/>
        </w:rPr>
        <w:t>的残疾证明（精神、智力类残疾</w:t>
      </w:r>
      <w:r>
        <w:rPr>
          <w:rFonts w:hint="eastAsia" w:ascii="仿宋_GB2312" w:hAnsi="仿宋" w:eastAsia="仿宋_GB2312" w:cs="Times New Roman"/>
          <w:kern w:val="2"/>
          <w:sz w:val="32"/>
          <w:szCs w:val="32"/>
          <w:lang w:val="en-US" w:eastAsia="zh-CN" w:bidi="ar-SA"/>
        </w:rPr>
        <w:t>除外</w:t>
      </w:r>
      <w:r>
        <w:rPr>
          <w:rFonts w:hint="default" w:ascii="仿宋_GB2312" w:hAnsi="仿宋" w:eastAsia="仿宋_GB2312" w:cs="Times New Roman"/>
          <w:kern w:val="2"/>
          <w:sz w:val="32"/>
          <w:szCs w:val="32"/>
          <w:lang w:val="en-US" w:eastAsia="zh-CN" w:bidi="ar-SA"/>
        </w:rPr>
        <w:t>）且营业执照中登记的类型为个体工商户和个独资企业的申请人，卷烟零售点间隔距离可放宽至</w:t>
      </w:r>
      <w:r>
        <w:rPr>
          <w:rFonts w:hint="eastAsia" w:ascii="仿宋_GB2312" w:hAnsi="仿宋" w:eastAsia="仿宋_GB2312" w:cs="Times New Roman"/>
          <w:kern w:val="2"/>
          <w:sz w:val="32"/>
          <w:szCs w:val="32"/>
          <w:lang w:val="en-US" w:eastAsia="zh-CN" w:bidi="ar-SA"/>
        </w:rPr>
        <w:t>20</w:t>
      </w:r>
      <w:r>
        <w:rPr>
          <w:rFonts w:hint="default" w:ascii="仿宋_GB2312" w:hAnsi="仿宋" w:eastAsia="仿宋_GB2312" w:cs="Times New Roman"/>
          <w:kern w:val="2"/>
          <w:sz w:val="32"/>
          <w:szCs w:val="32"/>
          <w:lang w:val="en-US" w:eastAsia="zh-CN" w:bidi="ar-SA"/>
        </w:rPr>
        <w:t>米。</w:t>
      </w:r>
    </w:p>
    <w:p w14:paraId="5953EE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（三）残疾军人、烈士遗属、因公牺牲军人遗属、病故军人遗属等重点优抚对象（须持相关部门核发的证件或证明），卷烟零售点间隔距离可放宽至</w:t>
      </w:r>
      <w:r>
        <w:rPr>
          <w:rFonts w:hint="eastAsia" w:ascii="仿宋_GB2312" w:hAnsi="仿宋" w:eastAsia="仿宋_GB2312" w:cs="Times New Roman"/>
          <w:kern w:val="2"/>
          <w:sz w:val="32"/>
          <w:szCs w:val="32"/>
          <w:lang w:val="en-US" w:eastAsia="zh-CN" w:bidi="ar-SA"/>
        </w:rPr>
        <w:t>20</w:t>
      </w:r>
      <w:r>
        <w:rPr>
          <w:rFonts w:hint="default" w:ascii="仿宋_GB2312" w:hAnsi="仿宋" w:eastAsia="仿宋_GB2312" w:cs="Times New Roman"/>
          <w:kern w:val="2"/>
          <w:sz w:val="32"/>
          <w:szCs w:val="32"/>
          <w:lang w:val="en-US" w:eastAsia="zh-CN" w:bidi="ar-SA"/>
        </w:rPr>
        <w:t>米。</w:t>
      </w:r>
    </w:p>
    <w:p w14:paraId="49580F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（四）对确因家庭困难或当地政府给与政策扶持的，由相关单位或个人出具县级以上政府批准的正式文件，向</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烟草专卖局提交申请，经集体研究认为可以照顾扶持的对象，依据实际情况适当放宽间距和总量限制。</w:t>
      </w:r>
    </w:p>
    <w:p w14:paraId="296E47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五</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残疾人、重点优抚对象、社会弱势群体在</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范围内未享受过放宽政策且办理时未持有有效烟草专卖零售许可证的，在</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申领烟草专卖零售许可证，可享受一次“减、免”烟草制品零售点间距限制或不受当地烟草制品零售点合理布局规划中最小市场单元格总量、特殊市场单元总量限制的优抚政策。</w:t>
      </w:r>
    </w:p>
    <w:p w14:paraId="3FEBF3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六</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具备下列情形之一的，不受间距限制：</w:t>
      </w:r>
    </w:p>
    <w:p w14:paraId="6613B9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（一）营业面积在2000平方米以上的宾馆（酒店）作为申请人对内从事卷烟零售业务的，可设置1个零售点。</w:t>
      </w:r>
    </w:p>
    <w:p w14:paraId="7B33BD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en-US" w:eastAsia="zh-CN" w:bidi="ar-SA"/>
        </w:rPr>
        <w:t>二</w:t>
      </w:r>
      <w:r>
        <w:rPr>
          <w:rFonts w:hint="default" w:ascii="仿宋_GB2312" w:hAnsi="仿宋" w:eastAsia="仿宋_GB2312" w:cs="Times New Roman"/>
          <w:kern w:val="2"/>
          <w:sz w:val="32"/>
          <w:szCs w:val="32"/>
          <w:lang w:val="en-US" w:eastAsia="zh-CN" w:bidi="ar-SA"/>
        </w:rPr>
        <w:t>）营业面积在</w:t>
      </w:r>
      <w:r>
        <w:rPr>
          <w:rFonts w:hint="eastAsia" w:ascii="仿宋_GB2312" w:hAnsi="仿宋" w:eastAsia="仿宋_GB2312" w:cs="Times New Roman"/>
          <w:kern w:val="2"/>
          <w:sz w:val="32"/>
          <w:szCs w:val="32"/>
          <w:lang w:val="en-US" w:eastAsia="zh-CN" w:bidi="ar-SA"/>
        </w:rPr>
        <w:t>800</w:t>
      </w:r>
      <w:r>
        <w:rPr>
          <w:rFonts w:hint="default" w:ascii="仿宋_GB2312" w:hAnsi="仿宋" w:eastAsia="仿宋_GB2312" w:cs="Times New Roman"/>
          <w:kern w:val="2"/>
          <w:sz w:val="32"/>
          <w:szCs w:val="32"/>
          <w:lang w:val="en-US" w:eastAsia="zh-CN" w:bidi="ar-SA"/>
        </w:rPr>
        <w:t>平方米以上的超市作为申请人，可设置1个零售点。</w:t>
      </w:r>
    </w:p>
    <w:p w14:paraId="0095B3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七</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符合下列情形之一重新提出烟草专卖零售许可证新办申请的，可以不受间距、单元格总量限制。</w:t>
      </w:r>
    </w:p>
    <w:p w14:paraId="3B464D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（一）有以下情形，按原零售点地址重新提出烟草专卖零售许可证新办申请的：</w:t>
      </w:r>
    </w:p>
    <w:p w14:paraId="10794E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因个体工商户转型为个人独资企业（或个人独资企业转型为个体工商户）以外的经营主体类型的（享受残疾人优抚政策申请的个体工商户、个人独资企业除外）；企业内部转制改变经营主体；夫妻之间、父母与子女之间相互改变经营主体的、继承改变经营主体的；法院判决、法人或其他组织分立、合并等原因改变经营主体；因自然灾害、政府行为、突发公共卫生事件等不可抗力及网络故障导致未按期延续被注销许可证但经营主体及地址未发生变化的，重新提出新办申请的可以不受间距、单元格数量限制。</w:t>
      </w:r>
    </w:p>
    <w:p w14:paraId="6990A5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（二）有以下情形，按</w:t>
      </w:r>
      <w:r>
        <w:rPr>
          <w:rFonts w:hint="eastAsia" w:ascii="仿宋_GB2312" w:hAnsi="仿宋" w:eastAsia="仿宋_GB2312" w:cs="Times New Roman"/>
          <w:kern w:val="2"/>
          <w:sz w:val="32"/>
          <w:szCs w:val="32"/>
          <w:lang w:val="en-US" w:eastAsia="zh-CN" w:bidi="ar-SA"/>
        </w:rPr>
        <w:t>新址</w:t>
      </w:r>
      <w:r>
        <w:rPr>
          <w:rFonts w:hint="default" w:ascii="仿宋_GB2312" w:hAnsi="仿宋" w:eastAsia="仿宋_GB2312" w:cs="Times New Roman"/>
          <w:kern w:val="2"/>
          <w:sz w:val="32"/>
          <w:szCs w:val="32"/>
          <w:lang w:val="en-US" w:eastAsia="zh-CN" w:bidi="ar-SA"/>
        </w:rPr>
        <w:t>重新提出烟草专卖零售许可证新办申请的：</w:t>
      </w:r>
    </w:p>
    <w:p w14:paraId="19ED48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学校、幼儿园内部及进出通道口向外延伸可行走距离50米内的持证零售户歇业注销后，6个月内</w:t>
      </w:r>
      <w:r>
        <w:rPr>
          <w:rFonts w:hint="eastAsia" w:ascii="仿宋_GB2312" w:hAnsi="仿宋" w:eastAsia="仿宋_GB2312" w:cs="Times New Roman"/>
          <w:kern w:val="2"/>
          <w:sz w:val="32"/>
          <w:szCs w:val="32"/>
          <w:lang w:val="en-US" w:eastAsia="zh-CN" w:bidi="ar-SA"/>
        </w:rPr>
        <w:t>在</w:t>
      </w:r>
      <w:r>
        <w:rPr>
          <w:rFonts w:hint="default" w:ascii="仿宋_GB2312" w:hAnsi="仿宋" w:eastAsia="仿宋_GB2312" w:cs="Times New Roman"/>
          <w:kern w:val="2"/>
          <w:sz w:val="32"/>
          <w:szCs w:val="32"/>
          <w:lang w:val="en-US" w:eastAsia="zh-CN" w:bidi="ar-SA"/>
        </w:rPr>
        <w:t>原发证机关辖区内另选新址重新申领许可证的；因道路规划、城市建设等客观原因涉及房屋拆迁、危房拆除（以政府批准文件为主）等造成原烟草专卖零售许可证核定的经营场所无法经营，在6个月内于原发证机关辖区内另选新址变更许可证的，可以不受间距、单元格数量限制。</w:t>
      </w:r>
    </w:p>
    <w:p w14:paraId="4713A4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第十</w:t>
      </w:r>
      <w:r>
        <w:rPr>
          <w:rFonts w:hint="eastAsia" w:ascii="方正黑体_GBK" w:hAnsi="方正黑体_GBK" w:eastAsia="方正黑体_GBK" w:cs="方正黑体_GBK"/>
          <w:bCs/>
          <w:kern w:val="2"/>
          <w:sz w:val="32"/>
          <w:szCs w:val="32"/>
          <w:lang w:val="en-US" w:eastAsia="zh-CN" w:bidi="ar-SA"/>
        </w:rPr>
        <w:t>八</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其他有政策扶持需要的情形。</w:t>
      </w:r>
    </w:p>
    <w:p w14:paraId="5037508C">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第六章  不予设置零售点的情形</w:t>
      </w:r>
    </w:p>
    <w:p w14:paraId="6485B9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w:t>
      </w:r>
      <w:r>
        <w:rPr>
          <w:rFonts w:hint="eastAsia" w:ascii="方正黑体_GBK" w:hAnsi="方正黑体_GBK" w:eastAsia="方正黑体_GBK" w:cs="方正黑体_GBK"/>
          <w:bCs/>
          <w:kern w:val="2"/>
          <w:sz w:val="32"/>
          <w:szCs w:val="32"/>
          <w:lang w:val="en-US" w:eastAsia="zh-CN" w:bidi="ar-SA"/>
        </w:rPr>
        <w:t>十九</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申请主体资格存在以下情形，不予设置零售点：</w:t>
      </w:r>
    </w:p>
    <w:p w14:paraId="6FDBDD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（1）未成年人、无民事行为能力人及限制民事行为能力人</w:t>
      </w:r>
      <w:r>
        <w:rPr>
          <w:rFonts w:hint="eastAsia" w:ascii="仿宋_GB2312" w:hAnsi="仿宋" w:eastAsia="仿宋_GB2312" w:cs="Times New Roman"/>
          <w:kern w:val="2"/>
          <w:sz w:val="32"/>
          <w:szCs w:val="32"/>
          <w:lang w:val="en-US" w:eastAsia="zh-CN" w:bidi="ar-SA"/>
        </w:rPr>
        <w:t>。</w:t>
      </w:r>
    </w:p>
    <w:p w14:paraId="27CA38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（2）外商投资的商业企业或者个体工商户</w:t>
      </w:r>
      <w:r>
        <w:rPr>
          <w:rFonts w:hint="eastAsia" w:ascii="仿宋_GB2312" w:hAnsi="仿宋" w:eastAsia="仿宋_GB2312" w:cs="Times New Roman"/>
          <w:kern w:val="2"/>
          <w:sz w:val="32"/>
          <w:szCs w:val="32"/>
          <w:lang w:val="en-US" w:eastAsia="zh-CN" w:bidi="ar-SA"/>
        </w:rPr>
        <w:t>。</w:t>
      </w:r>
    </w:p>
    <w:p w14:paraId="0B9B81A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（3）未取得工商营业执照的</w:t>
      </w:r>
      <w:r>
        <w:rPr>
          <w:rFonts w:hint="eastAsia" w:ascii="仿宋_GB2312" w:hAnsi="仿宋" w:eastAsia="仿宋_GB2312" w:cs="Times New Roman"/>
          <w:kern w:val="2"/>
          <w:sz w:val="32"/>
          <w:szCs w:val="32"/>
          <w:lang w:val="en-US" w:eastAsia="zh-CN" w:bidi="ar-SA"/>
        </w:rPr>
        <w:t>。</w:t>
      </w:r>
    </w:p>
    <w:p w14:paraId="48B1CA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（4）取消从事烟草专卖业务资格不满三年的</w:t>
      </w:r>
      <w:r>
        <w:rPr>
          <w:rFonts w:hint="eastAsia" w:ascii="仿宋_GB2312" w:hAnsi="仿宋" w:eastAsia="仿宋_GB2312" w:cs="Times New Roman"/>
          <w:kern w:val="2"/>
          <w:sz w:val="32"/>
          <w:szCs w:val="32"/>
          <w:lang w:val="en-US" w:eastAsia="zh-CN" w:bidi="ar-SA"/>
        </w:rPr>
        <w:t>。</w:t>
      </w:r>
    </w:p>
    <w:p w14:paraId="7EDA0F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（5）因申请人隐瞒有关情况或者提供虚假材料，烟草专卖局作出不予受理或者不予发证决定后，申请人一年内再次提出申请的</w:t>
      </w:r>
      <w:r>
        <w:rPr>
          <w:rFonts w:hint="eastAsia" w:ascii="仿宋_GB2312" w:hAnsi="仿宋" w:eastAsia="仿宋_GB2312" w:cs="Times New Roman"/>
          <w:kern w:val="2"/>
          <w:sz w:val="32"/>
          <w:szCs w:val="32"/>
          <w:lang w:val="en-US" w:eastAsia="zh-CN" w:bidi="ar-SA"/>
        </w:rPr>
        <w:t>。</w:t>
      </w:r>
    </w:p>
    <w:p w14:paraId="4CD2B7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（6）因申请人以欺骗、贿赂等不正当手段取得的烟草专卖许可证被撤销后，申请人三年内再次提出申请的</w:t>
      </w:r>
      <w:r>
        <w:rPr>
          <w:rFonts w:hint="eastAsia" w:ascii="仿宋_GB2312" w:hAnsi="仿宋" w:eastAsia="仿宋_GB2312" w:cs="Times New Roman"/>
          <w:kern w:val="2"/>
          <w:sz w:val="32"/>
          <w:szCs w:val="32"/>
          <w:lang w:val="en-US" w:eastAsia="zh-CN" w:bidi="ar-SA"/>
        </w:rPr>
        <w:t>。</w:t>
      </w:r>
    </w:p>
    <w:p w14:paraId="1A81A4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（7）未领取烟草专卖零售许可证经营烟草专卖品业务，并且一年内被执法机关处罚两次以上，在三年内申请领取烟草专卖零售许可证的</w:t>
      </w:r>
      <w:r>
        <w:rPr>
          <w:rFonts w:hint="eastAsia" w:ascii="仿宋_GB2312" w:hAnsi="仿宋" w:eastAsia="仿宋_GB2312" w:cs="Times New Roman"/>
          <w:kern w:val="2"/>
          <w:sz w:val="32"/>
          <w:szCs w:val="32"/>
          <w:lang w:val="en-US" w:eastAsia="zh-CN" w:bidi="ar-SA"/>
        </w:rPr>
        <w:t>。</w:t>
      </w:r>
    </w:p>
    <w:p w14:paraId="361E0E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（8）未领取烟草专卖零售许可证经营烟草专卖品业务被追究刑事责任，在3年内申请领取烟草专卖零售许可证的。</w:t>
      </w:r>
    </w:p>
    <w:p w14:paraId="7E234E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经营场所存在以下情形，不予设置零售点：</w:t>
      </w:r>
    </w:p>
    <w:p w14:paraId="7ABE50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（一）无固定经营场所的。</w:t>
      </w:r>
    </w:p>
    <w:p w14:paraId="292E01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（二）经营场所与住所</w:t>
      </w:r>
      <w:r>
        <w:rPr>
          <w:rFonts w:hint="eastAsia" w:ascii="仿宋_GB2312" w:hAnsi="仿宋" w:eastAsia="仿宋_GB2312" w:cs="Times New Roman"/>
          <w:kern w:val="2"/>
          <w:sz w:val="32"/>
          <w:szCs w:val="32"/>
          <w:lang w:val="en-US" w:eastAsia="zh-CN" w:bidi="ar-SA"/>
        </w:rPr>
        <w:t>不相独立的</w:t>
      </w:r>
      <w:r>
        <w:rPr>
          <w:rFonts w:hint="default" w:ascii="仿宋_GB2312" w:hAnsi="仿宋" w:eastAsia="仿宋_GB2312" w:cs="Times New Roman"/>
          <w:kern w:val="2"/>
          <w:sz w:val="32"/>
          <w:szCs w:val="32"/>
          <w:lang w:val="en-US" w:eastAsia="zh-CN" w:bidi="ar-SA"/>
        </w:rPr>
        <w:t>。</w:t>
      </w:r>
    </w:p>
    <w:p w14:paraId="3C8371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（三）经营场所</w:t>
      </w:r>
      <w:r>
        <w:rPr>
          <w:rFonts w:hint="eastAsia" w:ascii="仿宋_GB2312" w:hAnsi="仿宋" w:eastAsia="仿宋_GB2312" w:cs="Times New Roman"/>
          <w:kern w:val="2"/>
          <w:sz w:val="32"/>
          <w:szCs w:val="32"/>
          <w:lang w:val="en-US" w:eastAsia="zh-CN" w:bidi="ar-SA"/>
        </w:rPr>
        <w:t>基于安全因素</w:t>
      </w:r>
      <w:r>
        <w:rPr>
          <w:rFonts w:hint="default" w:ascii="仿宋_GB2312" w:hAnsi="仿宋" w:eastAsia="仿宋_GB2312" w:cs="Times New Roman"/>
          <w:kern w:val="2"/>
          <w:sz w:val="32"/>
          <w:szCs w:val="32"/>
          <w:lang w:val="en-US" w:eastAsia="zh-CN" w:bidi="ar-SA"/>
        </w:rPr>
        <w:t>不适宜经营卷烟的。</w:t>
      </w:r>
    </w:p>
    <w:p w14:paraId="229BE2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（四）</w:t>
      </w:r>
      <w:r>
        <w:rPr>
          <w:rFonts w:hint="eastAsia" w:ascii="仿宋_GB2312" w:hAnsi="仿宋" w:eastAsia="仿宋_GB2312" w:cs="Times New Roman"/>
          <w:kern w:val="2"/>
          <w:sz w:val="32"/>
          <w:szCs w:val="32"/>
          <w:lang w:val="en-US" w:eastAsia="zh-CN" w:bidi="ar-SA"/>
        </w:rPr>
        <w:t>生产、销售、经营、储存有毒有害、易挥发类物质，不符合食品安全标准，容易造成卷烟污染的</w:t>
      </w:r>
      <w:r>
        <w:rPr>
          <w:rFonts w:hint="default" w:ascii="仿宋_GB2312" w:hAnsi="仿宋" w:eastAsia="仿宋_GB2312" w:cs="Times New Roman"/>
          <w:kern w:val="2"/>
          <w:sz w:val="32"/>
          <w:szCs w:val="32"/>
          <w:lang w:val="en-US" w:eastAsia="zh-CN" w:bidi="ar-SA"/>
        </w:rPr>
        <w:t>。</w:t>
      </w:r>
    </w:p>
    <w:p w14:paraId="648D15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一</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经营模式存在以下情形，不予设置零售点：</w:t>
      </w:r>
    </w:p>
    <w:p w14:paraId="3A7037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（一）利用自动售货机，电玩游戏机销售或者无人销售等变相销售烟草制品的</w:t>
      </w:r>
      <w:r>
        <w:rPr>
          <w:rFonts w:hint="eastAsia" w:ascii="仿宋_GB2312" w:hAnsi="仿宋" w:eastAsia="仿宋_GB2312" w:cs="Times New Roman"/>
          <w:kern w:val="2"/>
          <w:sz w:val="32"/>
          <w:szCs w:val="32"/>
          <w:lang w:val="en-US" w:eastAsia="zh-CN" w:bidi="ar-SA"/>
        </w:rPr>
        <w:t>。</w:t>
      </w:r>
    </w:p>
    <w:p w14:paraId="4BCA61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（二）利用信息网络渠道销售烟草制品的</w:t>
      </w:r>
      <w:r>
        <w:rPr>
          <w:rFonts w:hint="eastAsia" w:ascii="仿宋_GB2312" w:hAnsi="仿宋" w:eastAsia="仿宋_GB2312" w:cs="Times New Roman"/>
          <w:kern w:val="2"/>
          <w:sz w:val="32"/>
          <w:szCs w:val="32"/>
          <w:lang w:val="en-US" w:eastAsia="zh-CN" w:bidi="ar-SA"/>
        </w:rPr>
        <w:t>。</w:t>
      </w:r>
    </w:p>
    <w:p w14:paraId="569A38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二</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以下特殊区域不予设置零售点：</w:t>
      </w:r>
    </w:p>
    <w:p w14:paraId="4DB7AD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（一）中小校、幼儿园内部及进出通道口向外延伸可行走距离</w:t>
      </w:r>
      <w:r>
        <w:rPr>
          <w:rFonts w:hint="eastAsia" w:ascii="仿宋_GB2312" w:hAnsi="仿宋" w:eastAsia="仿宋_GB2312" w:cs="Times New Roman"/>
          <w:kern w:val="2"/>
          <w:sz w:val="32"/>
          <w:szCs w:val="32"/>
          <w:lang w:val="en-US" w:eastAsia="zh-CN" w:bidi="ar-SA"/>
        </w:rPr>
        <w:t>低于</w:t>
      </w:r>
      <w:r>
        <w:rPr>
          <w:rFonts w:hint="default" w:ascii="仿宋_GB2312" w:hAnsi="仿宋" w:eastAsia="仿宋_GB2312" w:cs="Times New Roman"/>
          <w:kern w:val="2"/>
          <w:sz w:val="32"/>
          <w:szCs w:val="32"/>
          <w:lang w:val="en-US" w:eastAsia="zh-CN" w:bidi="ar-SA"/>
        </w:rPr>
        <w:t>50米以内的经营场所</w:t>
      </w:r>
      <w:r>
        <w:rPr>
          <w:rFonts w:hint="eastAsia" w:ascii="仿宋_GB2312" w:hAnsi="仿宋" w:eastAsia="仿宋_GB2312" w:cs="Times New Roman"/>
          <w:kern w:val="2"/>
          <w:sz w:val="32"/>
          <w:szCs w:val="32"/>
          <w:lang w:val="en-US" w:eastAsia="zh-CN" w:bidi="ar-SA"/>
        </w:rPr>
        <w:t>。</w:t>
      </w:r>
    </w:p>
    <w:p w14:paraId="760D21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（二）医疗卫生机构所属区域内</w:t>
      </w:r>
      <w:r>
        <w:rPr>
          <w:rFonts w:hint="eastAsia" w:ascii="仿宋_GB2312" w:hAnsi="仿宋" w:eastAsia="仿宋_GB2312" w:cs="Times New Roman"/>
          <w:kern w:val="2"/>
          <w:sz w:val="32"/>
          <w:szCs w:val="32"/>
          <w:lang w:val="en-US" w:eastAsia="zh-CN" w:bidi="ar-SA"/>
        </w:rPr>
        <w:t>。</w:t>
      </w:r>
    </w:p>
    <w:p w14:paraId="0668ED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（三）党政机关内部</w:t>
      </w:r>
      <w:r>
        <w:rPr>
          <w:rFonts w:hint="eastAsia" w:ascii="仿宋_GB2312" w:hAnsi="仿宋" w:eastAsia="仿宋_GB2312" w:cs="Times New Roman"/>
          <w:kern w:val="2"/>
          <w:sz w:val="32"/>
          <w:szCs w:val="32"/>
          <w:lang w:val="en-US" w:eastAsia="zh-CN" w:bidi="ar-SA"/>
        </w:rPr>
        <w:t>。</w:t>
      </w:r>
    </w:p>
    <w:p w14:paraId="77B43F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（四）未经城市规划部门批准而构建的违规建筑场所</w:t>
      </w:r>
      <w:r>
        <w:rPr>
          <w:rFonts w:hint="eastAsia" w:ascii="仿宋_GB2312" w:hAnsi="仿宋" w:eastAsia="仿宋_GB2312" w:cs="Times New Roman"/>
          <w:kern w:val="2"/>
          <w:sz w:val="32"/>
          <w:szCs w:val="32"/>
          <w:lang w:val="en-US" w:eastAsia="zh-CN" w:bidi="ar-SA"/>
        </w:rPr>
        <w:t>，</w:t>
      </w:r>
      <w:r>
        <w:rPr>
          <w:rFonts w:hint="default" w:ascii="仿宋_GB2312" w:hAnsi="仿宋" w:eastAsia="仿宋_GB2312" w:cs="Times New Roman"/>
          <w:kern w:val="2"/>
          <w:sz w:val="32"/>
          <w:szCs w:val="32"/>
          <w:lang w:val="en-US" w:eastAsia="zh-CN" w:bidi="ar-SA"/>
        </w:rPr>
        <w:t>已被政府纳入拆迁规划且政府明令禁止办理烟草专卖零售许可证的区域</w:t>
      </w:r>
      <w:r>
        <w:rPr>
          <w:rFonts w:hint="eastAsia" w:ascii="仿宋_GB2312" w:hAnsi="仿宋" w:eastAsia="仿宋_GB2312" w:cs="Times New Roman"/>
          <w:kern w:val="2"/>
          <w:sz w:val="32"/>
          <w:szCs w:val="32"/>
          <w:lang w:val="en-US" w:eastAsia="zh-CN" w:bidi="ar-SA"/>
        </w:rPr>
        <w:t>。</w:t>
      </w:r>
    </w:p>
    <w:p w14:paraId="285372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（五）政府明令禁止经营卷烟类商品的区域</w:t>
      </w:r>
      <w:r>
        <w:rPr>
          <w:rFonts w:hint="eastAsia" w:ascii="仿宋_GB2312" w:hAnsi="仿宋" w:eastAsia="仿宋_GB2312" w:cs="Times New Roman"/>
          <w:kern w:val="2"/>
          <w:sz w:val="32"/>
          <w:szCs w:val="32"/>
          <w:lang w:val="en-US" w:eastAsia="zh-CN" w:bidi="ar-SA"/>
        </w:rPr>
        <w:t>。</w:t>
      </w:r>
    </w:p>
    <w:p w14:paraId="4FC3AB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（六）</w:t>
      </w:r>
      <w:r>
        <w:rPr>
          <w:rFonts w:hint="eastAsia" w:ascii="仿宋_GB2312" w:hAnsi="仿宋" w:eastAsia="仿宋_GB2312" w:cs="Times New Roman"/>
          <w:kern w:val="2"/>
          <w:sz w:val="32"/>
          <w:szCs w:val="32"/>
          <w:lang w:val="en-US" w:eastAsia="zh-CN" w:bidi="ar-SA"/>
        </w:rPr>
        <w:t>位于</w:t>
      </w:r>
      <w:r>
        <w:rPr>
          <w:rFonts w:hint="default" w:ascii="仿宋_GB2312" w:hAnsi="仿宋" w:eastAsia="仿宋_GB2312" w:cs="Times New Roman"/>
          <w:kern w:val="2"/>
          <w:sz w:val="32"/>
          <w:szCs w:val="32"/>
          <w:lang w:val="en-US" w:eastAsia="zh-CN" w:bidi="ar-SA"/>
        </w:rPr>
        <w:t>儿童乐园、托幼机构（含幼儿园）、少年宫、图书馆（室）、科技馆（室）、美术馆、游乐场（馆）等主要服务未成年人的区域</w:t>
      </w:r>
      <w:r>
        <w:rPr>
          <w:rFonts w:hint="eastAsia" w:ascii="仿宋_GB2312" w:hAnsi="仿宋" w:eastAsia="仿宋_GB2312" w:cs="Times New Roman"/>
          <w:kern w:val="2"/>
          <w:sz w:val="32"/>
          <w:szCs w:val="32"/>
          <w:lang w:val="en-US" w:eastAsia="zh-CN" w:bidi="ar-SA"/>
        </w:rPr>
        <w:t>。</w:t>
      </w:r>
    </w:p>
    <w:p w14:paraId="124289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七）居民住宅楼、公寓楼内部。居民住宅一层房屋进出口通道直接面向市政规划道路的，小区内居民住宅一层房屋产权改为商业性质且进出口通道直接面向内部通行道路的，公寓楼一层房屋进出口通道直接面向市政规划道路或内部通行道路的除外</w:t>
      </w:r>
      <w:r>
        <w:rPr>
          <w:rFonts w:hint="eastAsia" w:ascii="仿宋_GB2312" w:hAnsi="仿宋" w:eastAsia="仿宋_GB2312" w:cs="Times New Roman"/>
          <w:kern w:val="2"/>
          <w:sz w:val="32"/>
          <w:szCs w:val="32"/>
          <w:lang w:val="en-US" w:eastAsia="zh-CN" w:bidi="ar-SA"/>
        </w:rPr>
        <w:t>。</w:t>
      </w:r>
    </w:p>
    <w:p w14:paraId="0DFFE9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仿宋_GB2312" w:hAnsi="仿宋" w:eastAsia="仿宋_GB2312" w:cs="Times New Roman"/>
          <w:kern w:val="2"/>
          <w:sz w:val="32"/>
          <w:szCs w:val="32"/>
          <w:lang w:val="en-US" w:eastAsia="zh-CN" w:bidi="ar-SA"/>
        </w:rPr>
        <w:t>（八）不符合所属行业行政主管部门关于卷烟经营相关规定的。</w:t>
      </w:r>
    </w:p>
    <w:p w14:paraId="4B2F99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三</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法律、法规、规章和国家烟草专卖局规定的其他不予发证的情形，以及当地烟草专卖局依照规定不能设定零售点的其他情形。</w:t>
      </w:r>
    </w:p>
    <w:p w14:paraId="7740D16C">
      <w:pPr>
        <w:keepNext w:val="0"/>
        <w:keepLines w:val="0"/>
        <w:pageBreakBefore w:val="0"/>
        <w:kinsoku/>
        <w:overflowPunct/>
        <w:topLinePunct w:val="0"/>
        <w:autoSpaceDE/>
        <w:autoSpaceDN/>
        <w:bidi w:val="0"/>
        <w:adjustRightInd/>
        <w:snapToGrid/>
        <w:spacing w:line="560" w:lineRule="exact"/>
        <w:jc w:val="center"/>
        <w:textAlignment w:val="auto"/>
        <w:rPr>
          <w:rFonts w:hint="default" w:ascii="黑体" w:hAnsi="黑体" w:eastAsia="黑体" w:cs="Times New Roman"/>
          <w:sz w:val="32"/>
          <w:szCs w:val="32"/>
          <w:lang w:val="en-US" w:eastAsia="zh-CN"/>
        </w:rPr>
      </w:pPr>
      <w:r>
        <w:rPr>
          <w:rFonts w:hint="default" w:ascii="黑体" w:hAnsi="黑体" w:eastAsia="黑体" w:cs="Times New Roman"/>
          <w:sz w:val="32"/>
          <w:szCs w:val="32"/>
          <w:lang w:val="en-US" w:eastAsia="zh-CN"/>
        </w:rPr>
        <w:t>第七章  特殊事项</w:t>
      </w:r>
    </w:p>
    <w:p w14:paraId="5B95DF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四</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两个或两个以上申请人的申请因合理布局受间距或控量所限，无法同时给予行政许可的，根据受理的先后顺序作出是否准予许可的决定。</w:t>
      </w:r>
    </w:p>
    <w:p w14:paraId="7CD807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五</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已合法持有烟草专卖零售许可证的零售户，在许可证有效期内不受所在地烟草制品零售点合理布局规划调整的影响。持证人办理延续申请，除经营场所的安全因素要求和中小学、幼儿园周围的限制规定外，不受所在地烟草制品零售点合理布局规划其他规定调整的影响。</w:t>
      </w:r>
    </w:p>
    <w:p w14:paraId="3FFC64A2">
      <w:pPr>
        <w:keepNext w:val="0"/>
        <w:keepLines w:val="0"/>
        <w:pageBreakBefore w:val="0"/>
        <w:kinsoku/>
        <w:overflowPunct/>
        <w:topLinePunct w:val="0"/>
        <w:autoSpaceDE/>
        <w:autoSpaceDN/>
        <w:bidi w:val="0"/>
        <w:adjustRightInd/>
        <w:snapToGrid/>
        <w:spacing w:line="560" w:lineRule="exact"/>
        <w:jc w:val="center"/>
        <w:textAlignment w:val="auto"/>
        <w:rPr>
          <w:rFonts w:hint="default" w:ascii="方正黑体_GBK" w:hAnsi="方正黑体_GBK" w:eastAsia="方正黑体_GBK" w:cs="方正黑体_GBK"/>
          <w:bCs/>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第八章  测量标准</w:t>
      </w:r>
    </w:p>
    <w:p w14:paraId="1D1652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六</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间距”是指拟申请零售点与参照点(其周边最近的零售点及学校、幼儿园进出通勤口)之间，符合交通规则前提下的可通行最短距离。具体测量标准按照《山西省烟草专卖零售许可实地核查测量标准》执行，零售点间距测量时申请人须在现场，并进行确认。</w:t>
      </w:r>
    </w:p>
    <w:p w14:paraId="105AC5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ascii="黑体" w:hAnsi="黑体" w:eastAsia="黑体" w:cs="Times New Roman"/>
          <w:kern w:val="2"/>
          <w:sz w:val="32"/>
          <w:szCs w:val="32"/>
          <w:lang w:val="en-US" w:eastAsia="zh-CN" w:bidi="ar-SA"/>
        </w:rPr>
      </w:pPr>
      <w:r>
        <w:rPr>
          <w:rFonts w:hint="default" w:ascii="黑体" w:hAnsi="黑体" w:eastAsia="黑体" w:cs="Times New Roman"/>
          <w:kern w:val="2"/>
          <w:sz w:val="32"/>
          <w:szCs w:val="32"/>
          <w:lang w:val="en-US" w:eastAsia="zh-CN" w:bidi="ar-SA"/>
        </w:rPr>
        <w:t>第九章  附则</w:t>
      </w:r>
    </w:p>
    <w:p w14:paraId="7EA7A2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第二十</w:t>
      </w:r>
      <w:r>
        <w:rPr>
          <w:rFonts w:hint="eastAsia" w:ascii="方正黑体_GBK" w:hAnsi="方正黑体_GBK" w:eastAsia="方正黑体_GBK" w:cs="方正黑体_GBK"/>
          <w:bCs/>
          <w:kern w:val="2"/>
          <w:sz w:val="32"/>
          <w:szCs w:val="32"/>
          <w:lang w:val="en-US" w:eastAsia="zh-CN" w:bidi="ar-SA"/>
        </w:rPr>
        <w:t>七</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本规划的建筑户数、职工人数应根据物业、企业管理部门的正式文件和社会公布的有效信息进行核准，人口数量应根据政府机构出具或公布的人口数为准。</w:t>
      </w:r>
    </w:p>
    <w:p w14:paraId="332D53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w:t>
      </w:r>
      <w:r>
        <w:rPr>
          <w:rFonts w:hint="eastAsia" w:ascii="方正黑体_GBK" w:hAnsi="方正黑体_GBK" w:eastAsia="方正黑体_GBK" w:cs="方正黑体_GBK"/>
          <w:bCs/>
          <w:kern w:val="2"/>
          <w:sz w:val="32"/>
          <w:szCs w:val="32"/>
          <w:lang w:val="en-US" w:eastAsia="zh-CN" w:bidi="ar-SA"/>
        </w:rPr>
        <w:t>二十八</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本规划中涉及的学校，是指《中华人民共和国未成年人保护法》第一百三十条规定的普通中小学、特殊教育学校、中等职业学校、专门学校。幼儿园是指，当地教育行政主管部门核准登记备案的幼儿园。</w:t>
      </w:r>
    </w:p>
    <w:p w14:paraId="29AB5F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w:t>
      </w:r>
      <w:r>
        <w:rPr>
          <w:rFonts w:hint="eastAsia" w:ascii="方正黑体_GBK" w:hAnsi="方正黑体_GBK" w:eastAsia="方正黑体_GBK" w:cs="方正黑体_GBK"/>
          <w:bCs/>
          <w:kern w:val="2"/>
          <w:sz w:val="32"/>
          <w:szCs w:val="32"/>
          <w:lang w:val="en-US" w:eastAsia="zh-CN" w:bidi="ar-SA"/>
        </w:rPr>
        <w:t>二十九</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本规划中业态类型根据《中国卷烟销售公司关于进一步加强烟草零售客户基础信息管理工作的通知》（中烟销网〔2022〕26号）规定执行。</w:t>
      </w:r>
    </w:p>
    <w:p w14:paraId="34D4C6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第三十条</w:t>
      </w:r>
      <w:r>
        <w:rPr>
          <w:rFonts w:hint="eastAsia" w:ascii="方正黑体_GBK" w:hAnsi="方正黑体_GBK" w:eastAsia="方正黑体_GBK" w:cs="方正黑体_GBK"/>
          <w:bCs/>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“其他有政策扶持需要的情形”的认定须由各级行政机关或授权管理公共事务的事业单位等相关单位出具有效文件，向</w:t>
      </w:r>
      <w:r>
        <w:rPr>
          <w:rFonts w:hint="eastAsia" w:ascii="仿宋_GB2312" w:hAnsi="仿宋" w:eastAsia="仿宋_GB2312" w:cs="Times New Roman"/>
          <w:kern w:val="2"/>
          <w:sz w:val="32"/>
          <w:szCs w:val="32"/>
          <w:lang w:val="en-US" w:eastAsia="zh-CN" w:bidi="ar-SA"/>
        </w:rPr>
        <w:t>方山县</w:t>
      </w:r>
      <w:r>
        <w:rPr>
          <w:rFonts w:hint="default" w:ascii="仿宋_GB2312" w:hAnsi="仿宋" w:eastAsia="仿宋_GB2312" w:cs="Times New Roman"/>
          <w:kern w:val="2"/>
          <w:sz w:val="32"/>
          <w:szCs w:val="32"/>
          <w:lang w:val="en-US" w:eastAsia="zh-CN" w:bidi="ar-SA"/>
        </w:rPr>
        <w:t>烟草专卖局提交申请，经</w:t>
      </w:r>
      <w:r>
        <w:rPr>
          <w:rFonts w:hint="eastAsia" w:ascii="仿宋_GB2312" w:hAnsi="仿宋" w:eastAsia="仿宋_GB2312" w:cs="Times New Roman"/>
          <w:kern w:val="2"/>
          <w:sz w:val="32"/>
          <w:szCs w:val="32"/>
          <w:lang w:val="en-US" w:eastAsia="zh-CN" w:bidi="ar-SA"/>
        </w:rPr>
        <w:t>方山县局</w:t>
      </w:r>
      <w:r>
        <w:rPr>
          <w:rFonts w:hint="default" w:ascii="仿宋_GB2312" w:hAnsi="仿宋" w:eastAsia="仿宋_GB2312" w:cs="Times New Roman"/>
          <w:kern w:val="2"/>
          <w:sz w:val="32"/>
          <w:szCs w:val="32"/>
          <w:lang w:val="en-US" w:eastAsia="zh-CN" w:bidi="ar-SA"/>
        </w:rPr>
        <w:t>批准视情况予以扶持。</w:t>
      </w:r>
    </w:p>
    <w:p w14:paraId="4F6464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第三十</w:t>
      </w:r>
      <w:r>
        <w:rPr>
          <w:rFonts w:hint="eastAsia" w:ascii="方正黑体_GBK" w:hAnsi="方正黑体_GBK" w:eastAsia="方正黑体_GBK" w:cs="方正黑体_GBK"/>
          <w:bCs/>
          <w:kern w:val="2"/>
          <w:sz w:val="32"/>
          <w:szCs w:val="32"/>
          <w:lang w:val="en-US" w:eastAsia="zh-CN" w:bidi="ar-SA"/>
        </w:rPr>
        <w:t>一</w:t>
      </w:r>
      <w:r>
        <w:rPr>
          <w:rFonts w:hint="default" w:ascii="方正黑体_GBK" w:hAnsi="方正黑体_GBK" w:eastAsia="方正黑体_GBK" w:cs="方正黑体_GBK"/>
          <w:bCs/>
          <w:kern w:val="2"/>
          <w:sz w:val="32"/>
          <w:szCs w:val="32"/>
          <w:lang w:val="en-US" w:eastAsia="zh-CN" w:bidi="ar-SA"/>
        </w:rPr>
        <w:t>条</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本规划中所称的“间距”均包含本数，“不小于”“最多”“不超过”等，如无特殊说明均包括本数，“以下”均包含本数，“以上”均不包含本数。</w:t>
      </w:r>
    </w:p>
    <w:p w14:paraId="0E47AC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第三十</w:t>
      </w:r>
      <w:r>
        <w:rPr>
          <w:rFonts w:hint="eastAsia" w:ascii="方正黑体_GBK" w:hAnsi="方正黑体_GBK" w:eastAsia="方正黑体_GBK" w:cs="方正黑体_GBK"/>
          <w:bCs/>
          <w:kern w:val="2"/>
          <w:sz w:val="32"/>
          <w:szCs w:val="32"/>
          <w:lang w:val="en-US" w:eastAsia="zh-CN" w:bidi="ar-SA"/>
        </w:rPr>
        <w:t>二</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烟草专卖零售许可证的有效期最长不超过5年。</w:t>
      </w:r>
    </w:p>
    <w:p w14:paraId="469CFAF6">
      <w:pPr>
        <w:keepNext w:val="0"/>
        <w:keepLines w:val="0"/>
        <w:widowControl/>
        <w:suppressLineNumbers w:val="0"/>
        <w:ind w:firstLine="640" w:firstLineChars="200"/>
        <w:jc w:val="left"/>
        <w:rPr>
          <w:rFonts w:hint="eastAsia"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第三十</w:t>
      </w:r>
      <w:r>
        <w:rPr>
          <w:rFonts w:hint="eastAsia" w:ascii="方正黑体_GBK" w:hAnsi="方正黑体_GBK" w:eastAsia="方正黑体_GBK" w:cs="方正黑体_GBK"/>
          <w:bCs/>
          <w:kern w:val="2"/>
          <w:sz w:val="32"/>
          <w:szCs w:val="32"/>
          <w:lang w:val="en-US" w:eastAsia="zh-CN" w:bidi="ar-SA"/>
        </w:rPr>
        <w:t>三</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方山县烟草专卖局定期对各最小单元格的零售点布局情况进行评估，根据实际情况适时调整单元网格零售点总量，并在当地烟草专卖局烟草专卖行政许可政务服务大厅、当地政务服务网予以公示后实施。</w:t>
      </w:r>
    </w:p>
    <w:p w14:paraId="5E9C48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default" w:ascii="方正黑体_GBK" w:hAnsi="方正黑体_GBK" w:eastAsia="方正黑体_GBK" w:cs="方正黑体_GBK"/>
          <w:bCs/>
          <w:kern w:val="2"/>
          <w:sz w:val="32"/>
          <w:szCs w:val="32"/>
          <w:lang w:val="en-US" w:eastAsia="zh-CN" w:bidi="ar-SA"/>
        </w:rPr>
        <w:t>第三十</w:t>
      </w:r>
      <w:r>
        <w:rPr>
          <w:rFonts w:hint="eastAsia" w:ascii="方正黑体_GBK" w:hAnsi="方正黑体_GBK" w:eastAsia="方正黑体_GBK" w:cs="方正黑体_GBK"/>
          <w:bCs/>
          <w:kern w:val="2"/>
          <w:sz w:val="32"/>
          <w:szCs w:val="32"/>
          <w:lang w:val="en-US" w:eastAsia="zh-CN" w:bidi="ar-SA"/>
        </w:rPr>
        <w:t>四</w:t>
      </w:r>
      <w:r>
        <w:rPr>
          <w:rFonts w:hint="default" w:ascii="方正黑体_GBK" w:hAnsi="方正黑体_GBK" w:eastAsia="方正黑体_GBK" w:cs="方正黑体_GBK"/>
          <w:bCs/>
          <w:kern w:val="2"/>
          <w:sz w:val="32"/>
          <w:szCs w:val="32"/>
          <w:lang w:val="en-US" w:eastAsia="zh-CN" w:bidi="ar-SA"/>
        </w:rPr>
        <w:t>条</w:t>
      </w:r>
      <w:r>
        <w:rPr>
          <w:rFonts w:hint="eastAsia" w:ascii="方正黑体_GBK" w:hAnsi="方正黑体_GBK" w:eastAsia="方正黑体_GBK" w:cs="方正黑体_GBK"/>
          <w:bCs/>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 xml:space="preserve"> </w:t>
      </w:r>
      <w:r>
        <w:rPr>
          <w:rFonts w:hint="default" w:ascii="仿宋_GB2312" w:hAnsi="仿宋" w:eastAsia="仿宋_GB2312" w:cs="Times New Roman"/>
          <w:kern w:val="2"/>
          <w:sz w:val="32"/>
          <w:szCs w:val="32"/>
          <w:lang w:val="en-US" w:eastAsia="zh-CN" w:bidi="ar-SA"/>
        </w:rPr>
        <w:t>本规划适用于方山县行政区域范围内，由方山县烟草专卖局负责解释。</w:t>
      </w:r>
    </w:p>
    <w:p w14:paraId="0BBF47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firstLine="640" w:firstLineChars="200"/>
        <w:jc w:val="both"/>
        <w:textAlignment w:val="auto"/>
        <w:rPr>
          <w:rFonts w:hint="default" w:ascii="仿宋_GB2312" w:hAnsi="仿宋" w:eastAsia="仿宋_GB2312" w:cs="Times New Roman"/>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 xml:space="preserve">第三十五条  </w:t>
      </w:r>
      <w:r>
        <w:rPr>
          <w:rFonts w:hint="default" w:ascii="仿宋_GB2312" w:hAnsi="仿宋" w:eastAsia="仿宋_GB2312" w:cs="Times New Roman"/>
          <w:kern w:val="2"/>
          <w:sz w:val="32"/>
          <w:szCs w:val="32"/>
          <w:lang w:val="en-US" w:eastAsia="zh-CN" w:bidi="ar-SA"/>
        </w:rPr>
        <w:t>本规划自发布之日起施行。原《方山县烟草制品零售点合理布局规划》（方烟法【2025】3号）同时废止。本规定实施期间，根据方山县经济发展状况及相关法律法规的规定需要调整的，以补充规划的形式经法定程序后予以发布实施。</w:t>
      </w:r>
    </w:p>
    <w:p w14:paraId="1EF0BA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right="0"/>
        <w:jc w:val="both"/>
        <w:textAlignment w:val="auto"/>
        <w:rPr>
          <w:rFonts w:hint="default" w:ascii="仿宋_GB2312" w:hAnsi="仿宋" w:eastAsia="仿宋_GB2312" w:cs="Times New Roman"/>
          <w:kern w:val="2"/>
          <w:sz w:val="32"/>
          <w:szCs w:val="32"/>
          <w:lang w:val="en-US" w:eastAsia="zh-CN" w:bidi="ar-SA"/>
        </w:rPr>
      </w:pPr>
    </w:p>
    <w:p w14:paraId="616050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center"/>
        <w:textAlignment w:val="auto"/>
        <w:rPr>
          <w:rFonts w:hint="default" w:ascii="仿宋_GB2312" w:hAnsi="仿宋" w:eastAsia="仿宋_GB2312" w:cs="Times New Roman"/>
          <w:kern w:val="2"/>
          <w:sz w:val="32"/>
          <w:szCs w:val="32"/>
          <w:lang w:val="en-US" w:eastAsia="zh-CN" w:bidi="ar-SA"/>
        </w:rPr>
      </w:pPr>
    </w:p>
    <w:p w14:paraId="08348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center"/>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 xml:space="preserve">                        方山县烟草专卖局</w:t>
      </w:r>
    </w:p>
    <w:p w14:paraId="74B20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center"/>
        <w:textAlignment w:val="auto"/>
        <w:rPr>
          <w:rFonts w:hint="default" w:ascii="仿宋_GB2312" w:hAnsi="仿宋" w:eastAsia="仿宋_GB2312" w:cs="Times New Roman"/>
          <w:kern w:val="2"/>
          <w:sz w:val="32"/>
          <w:szCs w:val="32"/>
          <w:lang w:val="en-US" w:eastAsia="zh-CN" w:bidi="ar-SA"/>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 w:eastAsia="仿宋_GB2312" w:cs="Times New Roman"/>
          <w:kern w:val="2"/>
          <w:sz w:val="32"/>
          <w:szCs w:val="32"/>
          <w:lang w:val="en-US" w:eastAsia="zh-CN" w:bidi="ar-SA"/>
        </w:rPr>
        <w:t xml:space="preserve">                          2026年8月5日</w:t>
      </w:r>
      <w:r>
        <w:rPr>
          <w:rFonts w:hint="default" w:ascii="仿宋_GB2312" w:hAnsi="仿宋" w:eastAsia="仿宋_GB2312" w:cs="Times New Roman"/>
          <w:kern w:val="2"/>
          <w:sz w:val="32"/>
          <w:szCs w:val="32"/>
          <w:lang w:val="en-US" w:eastAsia="zh-CN" w:bidi="ar-SA"/>
        </w:rPr>
        <w:t> </w:t>
      </w:r>
    </w:p>
    <w:p w14:paraId="2B8AAE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eastAsia"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eastAsiaTheme="minorEastAsia"/>
          <w:kern w:val="2"/>
          <w:sz w:val="28"/>
          <w:szCs w:val="28"/>
          <w:lang w:val="en-US" w:eastAsia="zh-CN" w:bidi="ar-SA"/>
        </w:rPr>
        <w:t>附件</w:t>
      </w:r>
    </w:p>
    <w:p w14:paraId="5996C5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560" w:lineRule="exact"/>
        <w:ind w:left="0" w:right="0" w:firstLine="420"/>
        <w:jc w:val="center"/>
        <w:textAlignment w:val="auto"/>
        <w:rPr>
          <w:rFonts w:hint="default" w:cs="方正小标宋简体" w:asciiTheme="minorEastAsia" w:hAnsiTheme="minorEastAsia" w:eastAsiaTheme="minorEastAsia"/>
          <w:b/>
          <w:kern w:val="2"/>
          <w:sz w:val="32"/>
          <w:szCs w:val="32"/>
          <w:lang w:val="en-US" w:eastAsia="zh-CN" w:bidi="ar-SA"/>
        </w:rPr>
      </w:pPr>
      <w:r>
        <w:rPr>
          <w:rFonts w:hint="eastAsia" w:cs="方正小标宋简体" w:asciiTheme="minorEastAsia" w:hAnsiTheme="minorEastAsia" w:eastAsiaTheme="minorEastAsia"/>
          <w:b/>
          <w:kern w:val="2"/>
          <w:sz w:val="32"/>
          <w:szCs w:val="32"/>
          <w:lang w:val="en-US" w:eastAsia="zh-CN" w:bidi="ar-SA"/>
        </w:rPr>
        <w:t>方山县</w:t>
      </w:r>
      <w:r>
        <w:rPr>
          <w:rFonts w:hint="default" w:cs="方正小标宋简体" w:asciiTheme="minorEastAsia" w:hAnsiTheme="minorEastAsia" w:eastAsiaTheme="minorEastAsia"/>
          <w:b/>
          <w:kern w:val="2"/>
          <w:sz w:val="32"/>
          <w:szCs w:val="32"/>
          <w:lang w:val="en-US" w:eastAsia="zh-CN" w:bidi="ar-SA"/>
        </w:rPr>
        <w:t>市场最小单元格零售点布局数量规划表</w:t>
      </w:r>
    </w:p>
    <w:tbl>
      <w:tblPr>
        <w:tblStyle w:val="6"/>
        <w:tblW w:w="12761"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238"/>
        <w:gridCol w:w="2425"/>
        <w:gridCol w:w="1387"/>
        <w:gridCol w:w="6536"/>
        <w:gridCol w:w="1175"/>
      </w:tblGrid>
      <w:tr w14:paraId="359F133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58CAF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cs="Times New Roman" w:asciiTheme="minorEastAsia" w:hAnsiTheme="minorEastAsia" w:eastAsiaTheme="minorEastAsia"/>
                <w:kern w:val="2"/>
                <w:sz w:val="28"/>
                <w:szCs w:val="28"/>
                <w:lang w:val="en-US" w:eastAsia="zh-CN" w:bidi="ar-SA"/>
              </w:rPr>
            </w:pPr>
            <w:r>
              <w:rPr>
                <w:rFonts w:hint="default" w:cs="Times New Roman" w:asciiTheme="minorEastAsia" w:hAnsiTheme="minorEastAsia" w:eastAsiaTheme="minorEastAsia"/>
                <w:kern w:val="2"/>
                <w:sz w:val="28"/>
                <w:szCs w:val="28"/>
                <w:lang w:val="en-US" w:eastAsia="zh-CN" w:bidi="ar-SA"/>
              </w:rPr>
              <w:t>序号</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04F44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8"/>
                <w:szCs w:val="28"/>
                <w:lang w:val="en-US" w:eastAsia="zh-CN" w:bidi="ar-SA"/>
              </w:rPr>
            </w:pPr>
            <w:r>
              <w:rPr>
                <w:rFonts w:hint="default" w:cs="Times New Roman" w:asciiTheme="minorEastAsia" w:hAnsiTheme="minorEastAsia" w:eastAsiaTheme="minorEastAsia"/>
                <w:kern w:val="2"/>
                <w:sz w:val="28"/>
                <w:szCs w:val="28"/>
                <w:lang w:val="en-US" w:eastAsia="zh-CN" w:bidi="ar-SA"/>
              </w:rPr>
              <w:t>网格名称</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C532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所属</w:t>
            </w:r>
            <w:r>
              <w:rPr>
                <w:rFonts w:hint="default" w:cs="Times New Roman" w:asciiTheme="minorEastAsia" w:hAnsiTheme="minorEastAsia" w:eastAsiaTheme="minorEastAsia"/>
                <w:kern w:val="2"/>
                <w:sz w:val="28"/>
                <w:szCs w:val="28"/>
                <w:lang w:val="en-US" w:eastAsia="zh-CN" w:bidi="ar-SA"/>
              </w:rPr>
              <w:t>乡镇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9ADF6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8"/>
                <w:szCs w:val="28"/>
                <w:lang w:val="en-US" w:eastAsia="zh-CN" w:bidi="ar-SA"/>
              </w:rPr>
            </w:pPr>
            <w:r>
              <w:rPr>
                <w:rFonts w:hint="default" w:cs="Times New Roman" w:asciiTheme="minorEastAsia" w:hAnsiTheme="minorEastAsia" w:eastAsiaTheme="minorEastAsia"/>
                <w:kern w:val="2"/>
                <w:sz w:val="28"/>
                <w:szCs w:val="28"/>
                <w:lang w:val="en-US" w:eastAsia="zh-CN" w:bidi="ar-SA"/>
              </w:rPr>
              <w:t>具体范围</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B578E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cs="Times New Roman" w:asciiTheme="minorEastAsia" w:hAnsiTheme="minorEastAsia" w:eastAsiaTheme="minorEastAsia"/>
                <w:kern w:val="2"/>
                <w:sz w:val="28"/>
                <w:szCs w:val="28"/>
                <w:lang w:val="en-US" w:eastAsia="zh-CN" w:bidi="ar-SA"/>
              </w:rPr>
            </w:pPr>
            <w:r>
              <w:rPr>
                <w:rFonts w:hint="default" w:cs="Times New Roman" w:asciiTheme="minorEastAsia" w:hAnsiTheme="minorEastAsia" w:eastAsiaTheme="minorEastAsia"/>
                <w:kern w:val="2"/>
                <w:sz w:val="28"/>
                <w:szCs w:val="28"/>
                <w:lang w:val="en-US" w:eastAsia="zh-CN" w:bidi="ar-SA"/>
              </w:rPr>
              <w:t>限定数量</w:t>
            </w:r>
          </w:p>
        </w:tc>
      </w:tr>
      <w:tr w14:paraId="04FD035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4A3B9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DFE32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移民村网格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BC6B8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E8983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车道崖村、桑家会村、圪洞村安置小区、移民村东、移民村西、潘家坂小区</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8FBB0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36</w:t>
            </w:r>
          </w:p>
        </w:tc>
      </w:tr>
      <w:tr w14:paraId="41381C8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E2590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2</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72BAF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圪洞沟网格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EEACE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3CEE7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高家庄村、阳湾村、务云塔村、武家湾村、郭家湾村、圪洞村（经贸路以南及旧街圪洞村委附近）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38613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16</w:t>
            </w:r>
          </w:p>
        </w:tc>
      </w:tr>
      <w:tr w14:paraId="32E7835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7FDE2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3</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3691A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店坪网格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CD657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大武镇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B4091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郭家沟村、新房村、店坪村、水源村、水沟村、下庄村、石门焉村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41F68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36</w:t>
            </w:r>
          </w:p>
        </w:tc>
      </w:tr>
      <w:tr w14:paraId="4688565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7B9D0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4</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0150D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木瓜沟网格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EADC2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大武镇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0D000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木瓜沟村、举人头村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3333E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12</w:t>
            </w:r>
          </w:p>
        </w:tc>
      </w:tr>
      <w:tr w14:paraId="341D6A9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B57A7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5</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E3657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大武东片区网格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57E8B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大武镇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59A55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新洞村、武家庄村、雅湾村、相当村、东相王村、东坡村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5BCA1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36</w:t>
            </w:r>
          </w:p>
        </w:tc>
      </w:tr>
      <w:tr w14:paraId="40A082D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7E0A2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6</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3EF5B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大武西片区网格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C36EB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大武镇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57C34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杨家会村、西相王村、保安村、红罗沟村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89E54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29</w:t>
            </w:r>
          </w:p>
        </w:tc>
      </w:tr>
      <w:tr w14:paraId="25C303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8E5B0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7</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6D0C8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韩家山网格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8CA0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峪口镇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60589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曹家山村、袁家甲村、呼家湾村、韩家山村、张家塔村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00CF3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14</w:t>
            </w:r>
          </w:p>
        </w:tc>
      </w:tr>
      <w:tr w14:paraId="218D49E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4C29D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8</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6DB12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北武当网格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1071C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北武当镇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AC80D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韩庄村、安上村、北武当村、河庄村、来堡村、庙底村、占古村、暖泉会村、新民村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32A24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19</w:t>
            </w:r>
          </w:p>
        </w:tc>
      </w:tr>
      <w:tr w14:paraId="0C0EECA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58A6F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9</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869A3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峪口网格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81DEE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峪口镇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6BD64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峪口后村、石板梁村、南村、前南村、西山村、新庄村、兴隆湾村、吉家庄村、圪针湾村、花家坡村、圪叉咀村、田家坡村、横泉村、土福则村、西村、东湾村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F3B3F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59</w:t>
            </w:r>
          </w:p>
        </w:tc>
      </w:tr>
      <w:tr w14:paraId="414AFCF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3E646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10</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F33ED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建军庄网格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35C05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峪口镇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3D838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建军庄村、潘家坂村、横沟村、前东旺平村、后东旺平村、圪洞村、庄上村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09DCD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26</w:t>
            </w:r>
          </w:p>
        </w:tc>
      </w:tr>
      <w:tr w14:paraId="7D5E8E9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A6E6D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11</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728C5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积翠网格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A6311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积翠镇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69D5D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莴苣沟村、东王村、南虎滩村、积翠村、冯家庄村、刘家庄村、后则沟村、水神沟村、前代居村、卧龙潭村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C35EB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26</w:t>
            </w:r>
          </w:p>
        </w:tc>
      </w:tr>
      <w:tr w14:paraId="58593D5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36267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12</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C0D81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麻地会网格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4402A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积翠镇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8385F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胡堡村、水沟湾村、运庄村、韩家沟村、大西沟村、石湾村、赵庄村、麻地会村、庄上村、郝家庄村、桦林坪村、冯家庄村、东沟村、津良庄村、焦家峪村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E73CE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42</w:t>
            </w:r>
          </w:p>
        </w:tc>
      </w:tr>
      <w:tr w14:paraId="722BEB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4089F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13</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C0B10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马坊网格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9FDB6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马坊镇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8D4D3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温家庄村、四皓村、兴隆湾村、龙泉村、周家沟村、李家湾村、赤街村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69117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11</w:t>
            </w:r>
          </w:p>
        </w:tc>
      </w:tr>
      <w:tr w14:paraId="3531F46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DD75E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14</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0DE9F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开府网格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6559B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马坊镇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9E4D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岭上村、神堂沟村、里其村、西沟村、磨地湾村、吴家沟村、辉回村、窑上村、开府村、麻峪村、树林则村</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A0BF4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30</w:t>
            </w:r>
          </w:p>
        </w:tc>
      </w:tr>
      <w:tr w14:paraId="7A9412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281B9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15</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72867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圪洞城北网格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B522E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7AA62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商贸区（不包括外环路与方正街商铺）、东一区、东二区、电业局路</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ABC36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24</w:t>
            </w:r>
          </w:p>
        </w:tc>
      </w:tr>
      <w:tr w14:paraId="13BFD59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075"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29207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16</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1CCB8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圪洞城中网格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5C61C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981D5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府前路西段、新荣路、碧秀路、沟卜沟以东区域、府前路东、武当路、积翠街、积荣路</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1E76D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22</w:t>
            </w:r>
          </w:p>
        </w:tc>
      </w:tr>
      <w:tr w14:paraId="1D078B4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4D5F5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17</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2D930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圪洞城南网格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203F7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9190F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建安路以东南区域、西山巷、东三区、石滩路、糜家塔路口以东区域、瓦窑北路、瓦窑南路、中石嘉园小区</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79E5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56</w:t>
            </w:r>
          </w:p>
        </w:tc>
      </w:tr>
      <w:tr w14:paraId="0C027E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7BE66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18</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66F52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大武（</w:t>
            </w:r>
            <w:bookmarkStart w:id="0" w:name="_GoBack"/>
            <w:bookmarkEnd w:id="0"/>
            <w:r>
              <w:rPr>
                <w:rFonts w:hint="eastAsia" w:cs="Times New Roman" w:asciiTheme="minorEastAsia" w:hAnsiTheme="minorEastAsia"/>
                <w:kern w:val="2"/>
                <w:sz w:val="24"/>
                <w:szCs w:val="24"/>
                <w:lang w:val="en-US" w:eastAsia="zh-CN" w:bidi="ar-SA"/>
              </w:rPr>
              <w:t>乡镇政府</w:t>
            </w:r>
            <w:r>
              <w:rPr>
                <w:rFonts w:hint="eastAsia" w:cs="Times New Roman" w:asciiTheme="minorEastAsia" w:hAnsiTheme="minorEastAsia" w:eastAsiaTheme="minorEastAsia"/>
                <w:kern w:val="2"/>
                <w:sz w:val="24"/>
                <w:szCs w:val="24"/>
                <w:lang w:val="en-US" w:eastAsia="zh-CN" w:bidi="ar-SA"/>
              </w:rPr>
              <w:t>所在地）网格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00AD9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大武镇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D5CB1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一区、二区、三区、四区、大武大桥、五区、六区、七区、八区、九区、长申坪小区、红坡区、大武政府路、西崖区</w:t>
            </w: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0B830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77</w:t>
            </w:r>
          </w:p>
        </w:tc>
      </w:tr>
      <w:tr w14:paraId="7826A80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8BF2A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19</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02487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北武当镇（</w:t>
            </w:r>
            <w:r>
              <w:rPr>
                <w:rFonts w:hint="eastAsia" w:cs="Times New Roman" w:asciiTheme="minorEastAsia" w:hAnsiTheme="minorEastAsia"/>
                <w:kern w:val="2"/>
                <w:sz w:val="24"/>
                <w:szCs w:val="24"/>
                <w:lang w:val="en-US" w:eastAsia="zh-CN" w:bidi="ar-SA"/>
              </w:rPr>
              <w:t>乡镇政府</w:t>
            </w:r>
            <w:r>
              <w:rPr>
                <w:rFonts w:hint="eastAsia" w:cs="Times New Roman" w:asciiTheme="minorEastAsia" w:hAnsiTheme="minorEastAsia" w:eastAsiaTheme="minorEastAsia"/>
                <w:kern w:val="2"/>
                <w:sz w:val="24"/>
                <w:szCs w:val="24"/>
                <w:lang w:val="en-US" w:eastAsia="zh-CN" w:bidi="ar-SA"/>
              </w:rPr>
              <w:t>所在地）网格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87071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北武当镇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FED23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firstLine="420" w:firstLineChars="0"/>
              <w:jc w:val="center"/>
              <w:textAlignment w:val="auto"/>
              <w:rPr>
                <w:rFonts w:hint="eastAsia" w:cs="Times New Roman" w:asciiTheme="minorEastAsia" w:hAnsiTheme="minorEastAsia" w:eastAsiaTheme="minorEastAsia"/>
                <w:kern w:val="2"/>
                <w:sz w:val="24"/>
                <w:szCs w:val="24"/>
                <w:lang w:val="en-US" w:eastAsia="zh-CN" w:bidi="ar-SA"/>
              </w:rPr>
            </w:pP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20ECCC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rightChars="0" w:firstLine="480" w:firstLineChars="200"/>
              <w:jc w:val="both"/>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10</w:t>
            </w:r>
          </w:p>
        </w:tc>
      </w:tr>
      <w:tr w14:paraId="2E4483A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90"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DA87E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20</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7F3D1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峪口镇（</w:t>
            </w:r>
            <w:r>
              <w:rPr>
                <w:rFonts w:hint="eastAsia" w:cs="Times New Roman" w:asciiTheme="minorEastAsia" w:hAnsiTheme="minorEastAsia"/>
                <w:kern w:val="2"/>
                <w:sz w:val="24"/>
                <w:szCs w:val="24"/>
                <w:lang w:val="en-US" w:eastAsia="zh-CN" w:bidi="ar-SA"/>
              </w:rPr>
              <w:t>乡镇政府</w:t>
            </w:r>
            <w:r>
              <w:rPr>
                <w:rFonts w:hint="eastAsia" w:cs="Times New Roman" w:asciiTheme="minorEastAsia" w:hAnsiTheme="minorEastAsia" w:eastAsiaTheme="minorEastAsia"/>
                <w:kern w:val="2"/>
                <w:sz w:val="24"/>
                <w:szCs w:val="24"/>
                <w:lang w:val="en-US" w:eastAsia="zh-CN" w:bidi="ar-SA"/>
              </w:rPr>
              <w:t>所在地）网格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328E4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峪口镇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027A2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firstLine="420" w:firstLineChars="0"/>
              <w:jc w:val="center"/>
              <w:textAlignment w:val="auto"/>
              <w:rPr>
                <w:rFonts w:hint="eastAsia" w:cs="Times New Roman" w:asciiTheme="minorEastAsia" w:hAnsiTheme="minorEastAsia" w:eastAsiaTheme="minorEastAsia"/>
                <w:kern w:val="2"/>
                <w:sz w:val="24"/>
                <w:szCs w:val="24"/>
                <w:lang w:val="en-US" w:eastAsia="zh-CN" w:bidi="ar-SA"/>
              </w:rPr>
            </w:pP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BFB29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37</w:t>
            </w:r>
          </w:p>
        </w:tc>
      </w:tr>
      <w:tr w14:paraId="3D3EED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120"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45E28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21</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1C0679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马坊镇（</w:t>
            </w:r>
            <w:r>
              <w:rPr>
                <w:rFonts w:hint="eastAsia" w:cs="Times New Roman" w:asciiTheme="minorEastAsia" w:hAnsiTheme="minorEastAsia"/>
                <w:kern w:val="2"/>
                <w:sz w:val="24"/>
                <w:szCs w:val="24"/>
                <w:lang w:val="en-US" w:eastAsia="zh-CN" w:bidi="ar-SA"/>
              </w:rPr>
              <w:t>乡镇政府</w:t>
            </w:r>
            <w:r>
              <w:rPr>
                <w:rFonts w:hint="eastAsia" w:cs="Times New Roman" w:asciiTheme="minorEastAsia" w:hAnsiTheme="minorEastAsia" w:eastAsiaTheme="minorEastAsia"/>
                <w:kern w:val="2"/>
                <w:sz w:val="24"/>
                <w:szCs w:val="24"/>
                <w:lang w:val="en-US" w:eastAsia="zh-CN" w:bidi="ar-SA"/>
              </w:rPr>
              <w:t>所在地）网格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725E1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马坊镇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9058D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firstLine="420" w:firstLineChars="0"/>
              <w:jc w:val="center"/>
              <w:textAlignment w:val="auto"/>
              <w:rPr>
                <w:rFonts w:hint="eastAsia" w:cs="Times New Roman" w:asciiTheme="minorEastAsia" w:hAnsiTheme="minorEastAsia" w:eastAsiaTheme="minorEastAsia"/>
                <w:kern w:val="2"/>
                <w:sz w:val="24"/>
                <w:szCs w:val="24"/>
                <w:lang w:val="en-US" w:eastAsia="zh-CN" w:bidi="ar-SA"/>
              </w:rPr>
            </w:pP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64E9EA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default"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26</w:t>
            </w:r>
          </w:p>
        </w:tc>
      </w:tr>
      <w:tr w14:paraId="5102C0E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0EF46C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22</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A1010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积翠镇（</w:t>
            </w:r>
            <w:r>
              <w:rPr>
                <w:rFonts w:hint="eastAsia" w:cs="Times New Roman" w:asciiTheme="minorEastAsia" w:hAnsiTheme="minorEastAsia"/>
                <w:kern w:val="2"/>
                <w:sz w:val="24"/>
                <w:szCs w:val="24"/>
                <w:lang w:val="en-US" w:eastAsia="zh-CN" w:bidi="ar-SA"/>
              </w:rPr>
              <w:t>乡镇政府</w:t>
            </w:r>
            <w:r>
              <w:rPr>
                <w:rFonts w:hint="eastAsia" w:cs="Times New Roman" w:asciiTheme="minorEastAsia" w:hAnsiTheme="minorEastAsia" w:eastAsiaTheme="minorEastAsia"/>
                <w:kern w:val="2"/>
                <w:sz w:val="24"/>
                <w:szCs w:val="24"/>
                <w:lang w:val="en-US" w:eastAsia="zh-CN" w:bidi="ar-SA"/>
              </w:rPr>
              <w:t>所在地）网格</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B12D3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积翠镇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3FCF4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firstLine="420" w:firstLineChars="0"/>
              <w:jc w:val="center"/>
              <w:textAlignment w:val="auto"/>
              <w:rPr>
                <w:rFonts w:hint="eastAsia" w:cs="Times New Roman" w:asciiTheme="minorEastAsia" w:hAnsiTheme="minorEastAsia" w:eastAsiaTheme="minorEastAsia"/>
                <w:kern w:val="2"/>
                <w:sz w:val="24"/>
                <w:szCs w:val="24"/>
                <w:lang w:val="en-US" w:eastAsia="zh-CN" w:bidi="ar-SA"/>
              </w:rPr>
            </w:pP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24ABE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rightChars="0" w:firstLine="480" w:firstLineChars="200"/>
              <w:jc w:val="both"/>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14</w:t>
            </w:r>
          </w:p>
        </w:tc>
      </w:tr>
      <w:tr w14:paraId="7AB627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23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D5DD2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jc w:val="center"/>
              <w:textAlignment w:val="auto"/>
              <w:rPr>
                <w:rFonts w:hint="default" w:cs="Times New Roman" w:asciiTheme="minorEastAsia" w:hAnsiTheme="minorEastAsia"/>
                <w:kern w:val="2"/>
                <w:sz w:val="28"/>
                <w:szCs w:val="28"/>
                <w:lang w:val="en-US" w:eastAsia="zh-CN" w:bidi="ar-SA"/>
              </w:rPr>
            </w:pPr>
            <w:r>
              <w:rPr>
                <w:rFonts w:hint="eastAsia" w:cs="Times New Roman" w:asciiTheme="minorEastAsia" w:hAnsiTheme="minorEastAsia"/>
                <w:kern w:val="2"/>
                <w:sz w:val="28"/>
                <w:szCs w:val="28"/>
                <w:lang w:val="en-US" w:eastAsia="zh-CN" w:bidi="ar-SA"/>
              </w:rPr>
              <w:t>23</w:t>
            </w:r>
          </w:p>
        </w:tc>
        <w:tc>
          <w:tcPr>
            <w:tcW w:w="242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450019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城区外环路</w:t>
            </w:r>
          </w:p>
        </w:tc>
        <w:tc>
          <w:tcPr>
            <w:tcW w:w="1387"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51BE87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jc w:val="center"/>
              <w:textAlignment w:val="auto"/>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圪洞镇</w:t>
            </w:r>
          </w:p>
        </w:tc>
        <w:tc>
          <w:tcPr>
            <w:tcW w:w="6536"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75CA65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left="0" w:leftChars="0" w:right="0" w:rightChars="0" w:firstLine="420" w:firstLineChars="0"/>
              <w:jc w:val="center"/>
              <w:textAlignment w:val="auto"/>
              <w:rPr>
                <w:rFonts w:hint="eastAsia" w:cs="Times New Roman" w:asciiTheme="minorEastAsia" w:hAnsiTheme="minorEastAsia" w:eastAsiaTheme="minorEastAsia"/>
                <w:kern w:val="2"/>
                <w:sz w:val="24"/>
                <w:szCs w:val="24"/>
                <w:lang w:val="en-US" w:eastAsia="zh-CN" w:bidi="ar-SA"/>
              </w:rPr>
            </w:pPr>
          </w:p>
        </w:tc>
        <w:tc>
          <w:tcPr>
            <w:tcW w:w="1175"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14:paraId="31E391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30" w:beforeAutospacing="0" w:after="30" w:afterAutospacing="0" w:line="560" w:lineRule="exact"/>
              <w:ind w:right="0" w:rightChars="0" w:firstLine="480" w:firstLineChars="200"/>
              <w:jc w:val="both"/>
              <w:textAlignment w:val="auto"/>
              <w:rPr>
                <w:rFonts w:hint="default" w:cs="Times New Roman" w:asciiTheme="minorEastAsia" w:hAnsiTheme="minorEastAsia"/>
                <w:kern w:val="2"/>
                <w:sz w:val="24"/>
                <w:szCs w:val="24"/>
                <w:lang w:val="en-US" w:eastAsia="zh-CN" w:bidi="ar-SA"/>
              </w:rPr>
            </w:pPr>
            <w:r>
              <w:rPr>
                <w:rFonts w:hint="eastAsia" w:cs="Times New Roman" w:asciiTheme="minorEastAsia" w:hAnsiTheme="minorEastAsia"/>
                <w:kern w:val="2"/>
                <w:sz w:val="24"/>
                <w:szCs w:val="24"/>
                <w:lang w:val="en-US" w:eastAsia="zh-CN" w:bidi="ar-SA"/>
              </w:rPr>
              <w:t>25</w:t>
            </w:r>
          </w:p>
        </w:tc>
      </w:tr>
    </w:tbl>
    <w:p w14:paraId="65BA53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 w:beforeAutospacing="0" w:after="30" w:afterAutospacing="0" w:line="560" w:lineRule="exact"/>
        <w:ind w:left="0" w:right="0" w:firstLine="0"/>
        <w:jc w:val="both"/>
        <w:textAlignment w:val="auto"/>
        <w:rPr>
          <w:rFonts w:hint="default" w:cs="Times New Roman" w:asciiTheme="minorEastAsia" w:hAnsiTheme="minorEastAsia" w:eastAsiaTheme="minorEastAsia"/>
          <w:kern w:val="2"/>
          <w:sz w:val="28"/>
          <w:szCs w:val="28"/>
          <w:lang w:val="en-US" w:eastAsia="zh-CN" w:bidi="ar-S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5D30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42BB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742BB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0A"/>
    <w:rsid w:val="003E0634"/>
    <w:rsid w:val="00876DDF"/>
    <w:rsid w:val="00C96768"/>
    <w:rsid w:val="00D37EA1"/>
    <w:rsid w:val="00D42F0A"/>
    <w:rsid w:val="0BFF1D93"/>
    <w:rsid w:val="137D5655"/>
    <w:rsid w:val="2EEF4CED"/>
    <w:rsid w:val="2EFC28DC"/>
    <w:rsid w:val="327FF64A"/>
    <w:rsid w:val="3B7A79D5"/>
    <w:rsid w:val="3FB04A60"/>
    <w:rsid w:val="3FFF21B4"/>
    <w:rsid w:val="43760443"/>
    <w:rsid w:val="46F7A22D"/>
    <w:rsid w:val="4E0FB110"/>
    <w:rsid w:val="563F8965"/>
    <w:rsid w:val="5E97CD33"/>
    <w:rsid w:val="5FF9B07B"/>
    <w:rsid w:val="67FF5373"/>
    <w:rsid w:val="6D3F1FBA"/>
    <w:rsid w:val="6F39C564"/>
    <w:rsid w:val="6FFA3BD7"/>
    <w:rsid w:val="6FFFA9DD"/>
    <w:rsid w:val="70BDBEAF"/>
    <w:rsid w:val="76FDAF40"/>
    <w:rsid w:val="771F3AF0"/>
    <w:rsid w:val="77737C7F"/>
    <w:rsid w:val="778B1C9B"/>
    <w:rsid w:val="77A3C88E"/>
    <w:rsid w:val="77FE58D1"/>
    <w:rsid w:val="7B7FE729"/>
    <w:rsid w:val="7BEF22B6"/>
    <w:rsid w:val="7DF7FBEE"/>
    <w:rsid w:val="7E5F4065"/>
    <w:rsid w:val="7EAD7702"/>
    <w:rsid w:val="7EF753DE"/>
    <w:rsid w:val="7EFEF7AD"/>
    <w:rsid w:val="7F772E2B"/>
    <w:rsid w:val="7FAFCC7F"/>
    <w:rsid w:val="7FC3099E"/>
    <w:rsid w:val="7FFD0F67"/>
    <w:rsid w:val="97BEA337"/>
    <w:rsid w:val="97FE54CF"/>
    <w:rsid w:val="99FF0148"/>
    <w:rsid w:val="9BFD26D5"/>
    <w:rsid w:val="A7FF8198"/>
    <w:rsid w:val="AF6ADFD5"/>
    <w:rsid w:val="AFBF73EC"/>
    <w:rsid w:val="AFCEDADA"/>
    <w:rsid w:val="B3B730C9"/>
    <w:rsid w:val="B73A020D"/>
    <w:rsid w:val="BBD9B229"/>
    <w:rsid w:val="BEB71817"/>
    <w:rsid w:val="BF579E77"/>
    <w:rsid w:val="BF9BAD48"/>
    <w:rsid w:val="BFD1BEF8"/>
    <w:rsid w:val="BFDF013F"/>
    <w:rsid w:val="C1BF7957"/>
    <w:rsid w:val="CF3D21A9"/>
    <w:rsid w:val="DB1F14A7"/>
    <w:rsid w:val="DF7F4E48"/>
    <w:rsid w:val="DFFFCF0E"/>
    <w:rsid w:val="E7FE656A"/>
    <w:rsid w:val="E9AF2813"/>
    <w:rsid w:val="EB7E95BE"/>
    <w:rsid w:val="EBFB2CA8"/>
    <w:rsid w:val="EF36B94D"/>
    <w:rsid w:val="EF7BF59A"/>
    <w:rsid w:val="EFF7D35B"/>
    <w:rsid w:val="EFFB86D7"/>
    <w:rsid w:val="F35F075C"/>
    <w:rsid w:val="F3CF62B0"/>
    <w:rsid w:val="F5FE4469"/>
    <w:rsid w:val="F74F6060"/>
    <w:rsid w:val="F78F8D1B"/>
    <w:rsid w:val="F7FE1ABF"/>
    <w:rsid w:val="F9FD9E89"/>
    <w:rsid w:val="FADE8502"/>
    <w:rsid w:val="FB7F8240"/>
    <w:rsid w:val="FD571947"/>
    <w:rsid w:val="FDD6D64F"/>
    <w:rsid w:val="FE1B020B"/>
    <w:rsid w:val="FF372883"/>
    <w:rsid w:val="FF7A2BF7"/>
    <w:rsid w:val="FFFFD6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Theme="minorHAnsi" w:hAnsiTheme="minorHAnsi" w:eastAsiaTheme="minorEastAsia" w:cstheme="minorBidi"/>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8">
    <w:name w:val="文件标题"/>
    <w:basedOn w:val="1"/>
    <w:qFormat/>
    <w:uiPriority w:val="0"/>
    <w:pPr>
      <w:snapToGrid w:val="0"/>
      <w:spacing w:line="700" w:lineRule="exact"/>
      <w:jc w:val="center"/>
    </w:pPr>
    <w:rPr>
      <w:rFonts w:ascii="方正小标宋简体" w:hAnsi="宋体" w:eastAsia="方正小标宋简体"/>
      <w:color w:val="000000"/>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19</Pages>
  <Words>6053</Words>
  <Characters>6105</Characters>
  <Lines>0</Lines>
  <Paragraphs>0</Paragraphs>
  <TotalTime>8</TotalTime>
  <ScaleCrop>false</ScaleCrop>
  <LinksUpToDate>false</LinksUpToDate>
  <CharactersWithSpaces>6236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2021-05-16T15:28:00Z</dcterms:created>
  <dc:creator>User274</dc:creator>
  <cp:lastModifiedBy>成</cp:lastModifiedBy>
  <cp:lastPrinted>2026-07-26T16:36:00Z</cp:lastPrinted>
  <dcterms:modified xsi:type="dcterms:W3CDTF">2026-08-06T02:58:13Z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eyJoZGlkIjoiNWRhZTY3NGM0ZDg3ODk3NjQ3YjJjNDU4OTVlNDAwZjIiLCJ1c2VySWQiOiIxMTQ5OTg3NTc2In0=</vt:lpwstr>
  </property>
  <property fmtid="{D5CDD505-2E9C-101B-9397-08002B2CF9AE}" pid="4" name="ICV">
    <vt:lpwstr>13D00E92A0854F7CA87F098589D28DAF_12</vt:lpwstr>
  </property>
</Properties>
</file>