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涉农惠农（支持耕地力保护等相关补贴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drawing>
                <wp:inline distT="0" distB="0" distL="114300" distR="114300">
                  <wp:extent cx="4013835" cy="4914265"/>
                  <wp:effectExtent l="0" t="0" r="5715" b="63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13835" cy="4914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村务监督委员会全程监督、全体村民监督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1、不按时公开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2、不按实际公开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3、公开达不到时间、虚假公开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1、加强对村干部的廉政教育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2、村务监督委员会、全体村民加强监督</w:t>
            </w:r>
          </w:p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3、乡（镇）党委、政府及纪检组织加强监督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E62662E"/>
    <w:rsid w:val="1EC217C9"/>
    <w:rsid w:val="516560F6"/>
    <w:rsid w:val="593154B0"/>
    <w:rsid w:val="59FB63BC"/>
    <w:rsid w:val="5F5D58D5"/>
    <w:rsid w:val="7D84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2021-10-29T02:14:03Z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BCDC046922224CD3932B2C9EECA034F7</vt:lpwstr>
  </property>
</Properties>
</file>