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村级组织履行职责事项流程</w:t>
      </w:r>
    </w:p>
    <w:tbl>
      <w:tblPr>
        <w:tblStyle w:val="4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劳动和社会保障（慢性病申报）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3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tbl>
            <w:tblPr>
              <w:tblStyle w:val="4"/>
              <w:tblpPr w:leftFromText="180" w:rightFromText="180" w:vertAnchor="text" w:horzAnchor="page" w:tblpX="931" w:tblpY="16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1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7" w:hRule="atLeast"/>
              </w:trPr>
              <w:tc>
                <w:tcPr>
                  <w:tcW w:w="561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0" w:lineRule="exact"/>
                    <w:jc w:val="center"/>
                    <w:textAlignment w:val="auto"/>
                    <w:rPr>
                      <w:rFonts w:hint="eastAsia" w:ascii="仿宋" w:hAnsi="仿宋" w:eastAsia="仿宋" w:cs="仿宋"/>
                      <w:vertAlign w:val="baseline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vertAlign w:val="baseline"/>
                      <w:lang w:eastAsia="zh-CN"/>
                    </w:rPr>
                    <w:t>村级组织入户排查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0" w:lineRule="exact"/>
                    <w:jc w:val="center"/>
                    <w:textAlignment w:val="auto"/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</w:rPr>
                    <w:t>因重大疾病需办理门诊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  <w:lang w:eastAsia="zh-CN"/>
                    </w:rPr>
                    <w:t>慢性病待遇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</w:rPr>
                    <w:t>的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  <w:lang w:eastAsia="zh-CN"/>
                    </w:rPr>
                    <w:t>城乡参保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sz w:val="21"/>
                      <w:szCs w:val="21"/>
                    </w:rPr>
                    <w:t>居民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174625</wp:posOffset>
                      </wp:positionV>
                      <wp:extent cx="0" cy="412750"/>
                      <wp:effectExtent l="48895" t="0" r="65405" b="635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84370" y="2653665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5.2pt;margin-top:13.75pt;height:32.5pt;width:0pt;z-index:251659264;mso-width-relative:page;mso-height-relative:page;" filled="f" stroked="t" coordsize="21600,21600" o:gfxdata="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McdpjYAAAACQEAAA8AAAAAAAAA&#10;AQAgAAAAIgAAAGRycy9kb3ducmV2LnhtbFBLAQIUABQAAAAIAIdO4kBB19a/EQIAAOkDAAAOAAAA&#10;AAAAAAEAIAAAACcBAABkcnMvZTJvRG9jLnhtbFBLBQYAAAAABgAGAFkBAACqBQAAAAA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tbl>
            <w:tblPr>
              <w:tblStyle w:val="4"/>
              <w:tblpPr w:leftFromText="180" w:rightFromText="180" w:vertAnchor="text" w:horzAnchor="page" w:tblpX="1585" w:tblpY="14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2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8" w:hRule="atLeast"/>
              </w:trPr>
              <w:tc>
                <w:tcPr>
                  <w:tcW w:w="4727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80" w:lineRule="exact"/>
                    <w:textAlignment w:val="auto"/>
                    <w:rPr>
                      <w:rFonts w:ascii="仿宋" w:hAnsi="仿宋" w:eastAsia="仿宋" w:cs="仿宋"/>
                      <w:b/>
                      <w:bCs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申报时限：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“天天可申报！”</w:t>
                  </w:r>
                </w:p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每月20日为一个申报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鉴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定结点，21日至31日申报的参保居民延续至下月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鉴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定。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17145</wp:posOffset>
                      </wp:positionV>
                      <wp:extent cx="0" cy="412750"/>
                      <wp:effectExtent l="48895" t="0" r="65405" b="635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4.95pt;margin-top:1.35pt;height:32.5pt;width:0pt;z-index:251660288;mso-width-relative:page;mso-height-relative:page;" filled="f" stroked="t" coordsize="21600,21600" o:gfxdata="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vA1t7WAAAACAEAAA8AAAAAAAAAAQAgAAAAIgAAAGRycy9kb3du&#10;cmV2LnhtbFBLAQIUABQAAAAIAIdO4kCwOVLYAQIAAN8DAAAOAAAAAAAAAAEAIAAAACUBAABkcnMv&#10;ZTJvRG9jLnhtbFBLBQYAAAAABgAGAFkBAACYBQAAAAA=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tbl>
            <w:tblPr>
              <w:tblStyle w:val="4"/>
              <w:tblpPr w:leftFromText="180" w:rightFromText="180" w:vertAnchor="text" w:horzAnchor="page" w:tblpX="1285" w:tblpY="16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9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6" w:hRule="atLeast"/>
              </w:trPr>
              <w:tc>
                <w:tcPr>
                  <w:tcW w:w="5190" w:type="dxa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jc w:val="both"/>
                    <w:textAlignment w:val="auto"/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申报方式：“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 w:themeColor="text1"/>
                      <w:kern w:val="2"/>
                      <w:sz w:val="21"/>
                      <w:szCs w:val="21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w:t>月月可鉴定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！”</w:t>
                  </w:r>
                </w:p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携带2年内二级以上医疗机构出具的住院病历(复印件加盖医疗机构印章）、身份证或社保卡（正反面复印件）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、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1张一寸免冠彩照到户籍所在地乡镇卫生院申报（凤城镇户籍的在凤城镇医保办公点)。</w:t>
                  </w:r>
                </w:p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建档立卡贫困人口：提供二级以上（含二级）医院诊断证明、门诊病历及相关检查检验报告能够证明病情，且符合准入标准的，不再提供住院病历复印件。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2349500</wp:posOffset>
                      </wp:positionH>
                      <wp:positionV relativeFrom="paragraph">
                        <wp:posOffset>71120</wp:posOffset>
                      </wp:positionV>
                      <wp:extent cx="0" cy="412750"/>
                      <wp:effectExtent l="48895" t="0" r="65405" b="6350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2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5pt;margin-top:5.6pt;height:32.5pt;width:0pt;z-index:251661312;mso-width-relative:page;mso-height-relative:page;" filled="f" stroked="t" coordsize="21600,21600" o:gfxdata="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pxEj1wAAAAkBAAAPAAAAAAAAAAEAIAAAACIAAABkcnMvZG93&#10;bnJldi54bWxQSwECFAAUAAAACACHTuJAodGBvgECAADfAwAADgAAAAAAAAABACAAAAAmAQAAZHJz&#10;L2Uyb0RvYy54bWxQSwUGAAAAAAYABgBZAQAAmQUAAAAA&#10;">
                      <v:fill on="f" focussize="0,0"/>
                      <v:stroke weight="0.5pt" color="#000000 [3213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ind w:firstLine="420" w:firstLineChars="20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tbl>
            <w:tblPr>
              <w:tblStyle w:val="4"/>
              <w:tblpPr w:leftFromText="180" w:rightFromText="180" w:vertAnchor="text" w:horzAnchor="page" w:tblpX="568" w:tblpY="264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3" w:hRule="atLeast"/>
              </w:trPr>
              <w:tc>
                <w:tcPr>
                  <w:tcW w:w="6774" w:type="dxa"/>
                </w:tcPr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待遇享受：“</w:t>
                  </w: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21"/>
                      <w:sz w:val="21"/>
                      <w:szCs w:val="21"/>
                    </w:rPr>
                    <w:t>次月可享受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！”</w:t>
                  </w:r>
                </w:p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通过城乡居民门诊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慢性病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待遇鉴定的参保患者，持社保卡到户籍所在地乡镇卫生院（凤城镇户籍的在凤城镇医保办公点)领取《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晋城市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居民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医保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门诊慢性病就诊卡》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。</w:t>
                  </w:r>
                </w:p>
                <w:p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 w:val="0"/>
                    <w:snapToGrid w:val="0"/>
                    <w:spacing w:before="0" w:beforeAutospacing="0" w:after="0" w:afterAutospacing="0" w:line="280" w:lineRule="exact"/>
                    <w:ind w:firstLine="420" w:firstLineChars="200"/>
                    <w:jc w:val="both"/>
                    <w:textAlignment w:val="auto"/>
                    <w:rPr>
                      <w:rFonts w:hint="eastAsia" w:asciiTheme="minorHAnsi" w:hAnsiTheme="minorHAnsi" w:eastAsiaTheme="minorEastAsia" w:cstheme="minorBidi"/>
                      <w:kern w:val="2"/>
                      <w:sz w:val="21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持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身份证、社保卡和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《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晋城市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居民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医保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门诊慢性病就诊卡》到门诊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  <w:lang w:eastAsia="zh-CN"/>
                    </w:rPr>
                    <w:t>慢性病</w:t>
                  </w:r>
                  <w:r>
                    <w:rPr>
                      <w:rFonts w:hint="eastAsia" w:ascii="仿宋" w:hAnsi="仿宋" w:eastAsia="仿宋" w:cs="仿宋"/>
                      <w:color w:val="000000"/>
                      <w:kern w:val="21"/>
                      <w:sz w:val="21"/>
                      <w:szCs w:val="21"/>
                    </w:rPr>
                    <w:t>定点医疗机构购药，符合政策范围的可直接报销。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tabs>
                <w:tab w:val="left" w:pos="133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lef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村民委员会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门诊慢性病政策宣传不到位；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门诊慢性病入户排查不彻底。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1.加强对村干部的廉政教育；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2.村务监督委员会、全体村民加强监督；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3.乡（镇）党委、政府及纪检组织加强监督指导；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加大门诊慢性病政策宣传力度，做到“应保尽保，不漏一人”；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vertAlign w:val="baseline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vertAlign w:val="baseline"/>
                <w:lang w:eastAsia="zh-CN"/>
              </w:rPr>
              <w:t>通过定期入户排查掌握村民身体健康状况及待遇享受情况，做到政策宣传全覆盖。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0" w:lineRule="exact"/>
        <w:textAlignment w:val="auto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5B25526"/>
    <w:rsid w:val="07DA486C"/>
    <w:rsid w:val="0878761B"/>
    <w:rsid w:val="0C805425"/>
    <w:rsid w:val="0F196CB0"/>
    <w:rsid w:val="1A2244A4"/>
    <w:rsid w:val="1EC217C9"/>
    <w:rsid w:val="21612D2D"/>
    <w:rsid w:val="249B7521"/>
    <w:rsid w:val="2569275A"/>
    <w:rsid w:val="25AD5557"/>
    <w:rsid w:val="312B0FE6"/>
    <w:rsid w:val="33635E63"/>
    <w:rsid w:val="342860DF"/>
    <w:rsid w:val="34B57C48"/>
    <w:rsid w:val="3549206D"/>
    <w:rsid w:val="3653766A"/>
    <w:rsid w:val="38411264"/>
    <w:rsid w:val="3A70535A"/>
    <w:rsid w:val="3D344304"/>
    <w:rsid w:val="3FAB70A1"/>
    <w:rsid w:val="51616AC4"/>
    <w:rsid w:val="59FB63BC"/>
    <w:rsid w:val="5A680E72"/>
    <w:rsid w:val="60192E39"/>
    <w:rsid w:val="66732386"/>
    <w:rsid w:val="6E53110E"/>
    <w:rsid w:val="6F8473D8"/>
    <w:rsid w:val="7124755E"/>
    <w:rsid w:val="7A432167"/>
    <w:rsid w:val="7E1B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